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488" w:rsidRPr="00002900" w:rsidRDefault="002A3B4B" w:rsidP="00F35E8B">
      <w:pPr>
        <w:spacing w:after="0" w:line="360" w:lineRule="auto"/>
        <w:jc w:val="center"/>
        <w:rPr>
          <w:rFonts w:ascii="Cambria" w:hAnsi="Cambria" w:cs="Tahoma"/>
          <w:b/>
          <w:sz w:val="28"/>
          <w:szCs w:val="28"/>
        </w:rPr>
      </w:pPr>
      <w:r>
        <w:rPr>
          <w:rFonts w:ascii="Cambria" w:hAnsi="Cambria" w:cs="Tahoma"/>
          <w:b/>
          <w:sz w:val="28"/>
          <w:szCs w:val="28"/>
        </w:rPr>
        <w:t>Integration of Financing a</w:t>
      </w:r>
      <w:r w:rsidRPr="00002900">
        <w:rPr>
          <w:rFonts w:ascii="Cambria" w:hAnsi="Cambria" w:cs="Tahoma"/>
          <w:b/>
          <w:sz w:val="28"/>
          <w:szCs w:val="28"/>
        </w:rPr>
        <w:t xml:space="preserve">nd Macroeconomic Shock </w:t>
      </w:r>
      <w:r>
        <w:rPr>
          <w:rFonts w:ascii="Cambria" w:hAnsi="Cambria" w:cs="Tahoma"/>
          <w:b/>
          <w:sz w:val="28"/>
          <w:szCs w:val="28"/>
          <w:lang w:val="id-ID"/>
        </w:rPr>
        <w:t>i</w:t>
      </w:r>
      <w:r>
        <w:rPr>
          <w:rFonts w:ascii="Cambria" w:hAnsi="Cambria" w:cs="Tahoma"/>
          <w:b/>
          <w:sz w:val="28"/>
          <w:szCs w:val="28"/>
        </w:rPr>
        <w:t>n Sharia Banking i</w:t>
      </w:r>
      <w:r w:rsidRPr="00002900">
        <w:rPr>
          <w:rFonts w:ascii="Cambria" w:hAnsi="Cambria" w:cs="Tahoma"/>
          <w:b/>
          <w:sz w:val="28"/>
          <w:szCs w:val="28"/>
        </w:rPr>
        <w:t>n Indonesia</w:t>
      </w:r>
    </w:p>
    <w:p w:rsidR="00F012B4" w:rsidRPr="00FD432F" w:rsidRDefault="00F35E8B" w:rsidP="00F35E8B">
      <w:pPr>
        <w:spacing w:after="0" w:line="360" w:lineRule="auto"/>
        <w:jc w:val="center"/>
        <w:rPr>
          <w:rFonts w:ascii="Cambria" w:hAnsi="Cambria" w:cs="Tahoma"/>
          <w:b/>
          <w:sz w:val="24"/>
          <w:szCs w:val="24"/>
          <w:vertAlign w:val="superscript"/>
          <w:lang w:val="id-ID"/>
        </w:rPr>
      </w:pPr>
      <w:r w:rsidRPr="00FD432F">
        <w:rPr>
          <w:rFonts w:ascii="Cambria" w:hAnsi="Cambria" w:cs="Tahoma"/>
          <w:b/>
          <w:sz w:val="24"/>
          <w:szCs w:val="24"/>
          <w:lang w:val="id-ID"/>
        </w:rPr>
        <w:t>Dini</w:t>
      </w:r>
      <w:r w:rsidRPr="00FD432F">
        <w:rPr>
          <w:rFonts w:ascii="Cambria" w:hAnsi="Cambria" w:cs="Tahoma"/>
          <w:b/>
          <w:sz w:val="24"/>
          <w:szCs w:val="24"/>
        </w:rPr>
        <w:t xml:space="preserve"> Rahmayanti</w:t>
      </w:r>
      <w:r w:rsidR="00002900" w:rsidRPr="00FD432F">
        <w:rPr>
          <w:rFonts w:ascii="Cambria" w:hAnsi="Cambria" w:cs="Tahoma"/>
          <w:b/>
          <w:sz w:val="24"/>
          <w:szCs w:val="24"/>
          <w:vertAlign w:val="superscript"/>
          <w:lang w:val="id-ID"/>
        </w:rPr>
        <w:t>1</w:t>
      </w:r>
    </w:p>
    <w:p w:rsidR="00002900" w:rsidRPr="00FD432F" w:rsidRDefault="00002900" w:rsidP="00F35E8B">
      <w:pPr>
        <w:spacing w:after="0" w:line="360" w:lineRule="auto"/>
        <w:jc w:val="center"/>
        <w:rPr>
          <w:rFonts w:ascii="Cambria" w:hAnsi="Cambria" w:cs="Tahoma"/>
          <w:b/>
          <w:sz w:val="24"/>
          <w:szCs w:val="24"/>
          <w:vertAlign w:val="superscript"/>
          <w:lang w:val="id-ID"/>
        </w:rPr>
      </w:pPr>
      <w:r w:rsidRPr="00FD432F">
        <w:rPr>
          <w:rFonts w:ascii="Cambria" w:hAnsi="Cambria" w:cs="Tahoma"/>
          <w:b/>
          <w:sz w:val="24"/>
          <w:szCs w:val="24"/>
          <w:lang w:val="id-ID"/>
        </w:rPr>
        <w:t>Mail Hilian Batin</w:t>
      </w:r>
      <w:r w:rsidRPr="00FD432F">
        <w:rPr>
          <w:rFonts w:ascii="Cambria" w:hAnsi="Cambria" w:cs="Tahoma"/>
          <w:b/>
          <w:sz w:val="24"/>
          <w:szCs w:val="24"/>
          <w:vertAlign w:val="superscript"/>
          <w:lang w:val="id-ID"/>
        </w:rPr>
        <w:t>2</w:t>
      </w:r>
    </w:p>
    <w:p w:rsidR="00FD432F" w:rsidRPr="00FD432F" w:rsidRDefault="00FD432F" w:rsidP="00F35E8B">
      <w:pPr>
        <w:spacing w:after="0" w:line="360" w:lineRule="auto"/>
        <w:jc w:val="center"/>
        <w:rPr>
          <w:rFonts w:ascii="Cambria" w:hAnsi="Cambria" w:cs="Tahoma"/>
          <w:b/>
          <w:sz w:val="24"/>
          <w:szCs w:val="24"/>
          <w:vertAlign w:val="superscript"/>
          <w:lang w:val="id-ID"/>
        </w:rPr>
      </w:pPr>
      <w:r w:rsidRPr="00FD432F">
        <w:rPr>
          <w:rFonts w:ascii="Cambria" w:hAnsi="Cambria" w:cs="Tahoma"/>
          <w:b/>
          <w:sz w:val="24"/>
          <w:szCs w:val="24"/>
          <w:lang w:val="id-ID"/>
        </w:rPr>
        <w:t>Suryati</w:t>
      </w:r>
      <w:r w:rsidRPr="00FD432F">
        <w:rPr>
          <w:rFonts w:ascii="Cambria" w:hAnsi="Cambria" w:cs="Tahoma"/>
          <w:b/>
          <w:sz w:val="24"/>
          <w:szCs w:val="24"/>
          <w:vertAlign w:val="superscript"/>
          <w:lang w:val="id-ID"/>
        </w:rPr>
        <w:t>3</w:t>
      </w:r>
    </w:p>
    <w:p w:rsidR="00FD432F" w:rsidRPr="00FD432F" w:rsidRDefault="004D79BA" w:rsidP="00F35E8B">
      <w:pPr>
        <w:spacing w:after="0" w:line="360" w:lineRule="auto"/>
        <w:jc w:val="center"/>
        <w:rPr>
          <w:rFonts w:ascii="Cambria" w:hAnsi="Cambria" w:cs="Tahoma"/>
          <w:b/>
          <w:sz w:val="24"/>
          <w:szCs w:val="24"/>
          <w:vertAlign w:val="superscript"/>
          <w:lang w:val="id-ID"/>
        </w:rPr>
      </w:pPr>
      <w:r>
        <w:rPr>
          <w:rFonts w:ascii="Cambria" w:hAnsi="Cambria" w:cs="Tahoma"/>
          <w:b/>
          <w:sz w:val="24"/>
          <w:szCs w:val="24"/>
          <w:lang w:val="id-ID"/>
        </w:rPr>
        <w:t>Diyah Ariyani</w:t>
      </w:r>
      <w:r w:rsidR="00FD432F" w:rsidRPr="00FD432F">
        <w:rPr>
          <w:rFonts w:ascii="Cambria" w:hAnsi="Cambria" w:cs="Tahoma"/>
          <w:b/>
          <w:sz w:val="24"/>
          <w:szCs w:val="24"/>
          <w:vertAlign w:val="superscript"/>
          <w:lang w:val="id-ID"/>
        </w:rPr>
        <w:t>4</w:t>
      </w:r>
    </w:p>
    <w:p w:rsidR="004D79BA" w:rsidRPr="004D79BA" w:rsidRDefault="004D79BA" w:rsidP="004D79BA">
      <w:pPr>
        <w:spacing w:after="0" w:line="360" w:lineRule="auto"/>
        <w:jc w:val="center"/>
        <w:rPr>
          <w:rFonts w:ascii="Cambria" w:hAnsi="Cambria" w:cs="Arial"/>
          <w:b/>
          <w:color w:val="222222"/>
          <w:sz w:val="24"/>
          <w:szCs w:val="24"/>
          <w:shd w:val="clear" w:color="auto" w:fill="FFFFFF"/>
          <w:vertAlign w:val="superscript"/>
          <w:lang w:val="id-ID"/>
        </w:rPr>
      </w:pPr>
      <w:r w:rsidRPr="004D79BA">
        <w:rPr>
          <w:rFonts w:ascii="Cambria" w:hAnsi="Cambria" w:cs="Arial"/>
          <w:b/>
          <w:color w:val="222222"/>
          <w:sz w:val="24"/>
          <w:szCs w:val="24"/>
          <w:shd w:val="clear" w:color="auto" w:fill="FFFFFF"/>
          <w:lang w:val="id-ID"/>
        </w:rPr>
        <w:t>Khusnul Ifada</w:t>
      </w:r>
      <w:r>
        <w:rPr>
          <w:rFonts w:ascii="Cambria" w:hAnsi="Cambria" w:cs="Arial"/>
          <w:b/>
          <w:color w:val="222222"/>
          <w:sz w:val="24"/>
          <w:szCs w:val="24"/>
          <w:shd w:val="clear" w:color="auto" w:fill="FFFFFF"/>
          <w:vertAlign w:val="superscript"/>
          <w:lang w:val="id-ID"/>
        </w:rPr>
        <w:t>5</w:t>
      </w:r>
    </w:p>
    <w:p w:rsidR="004D79BA" w:rsidRPr="004D79BA" w:rsidRDefault="004D79BA" w:rsidP="004D79BA">
      <w:pPr>
        <w:spacing w:after="0" w:line="360" w:lineRule="auto"/>
        <w:jc w:val="center"/>
        <w:rPr>
          <w:rFonts w:ascii="Cambria" w:hAnsi="Cambria" w:cs="Arial"/>
          <w:b/>
          <w:color w:val="222222"/>
          <w:sz w:val="24"/>
          <w:szCs w:val="24"/>
          <w:shd w:val="clear" w:color="auto" w:fill="FFFFFF"/>
          <w:vertAlign w:val="superscript"/>
          <w:lang w:val="id-ID"/>
        </w:rPr>
      </w:pPr>
    </w:p>
    <w:p w:rsidR="00002900" w:rsidRPr="004D79BA" w:rsidRDefault="002A3B4B" w:rsidP="00F35E8B">
      <w:pPr>
        <w:spacing w:after="0" w:line="360" w:lineRule="auto"/>
        <w:jc w:val="center"/>
        <w:rPr>
          <w:rFonts w:ascii="Cambria" w:hAnsi="Cambria" w:cs="Tahoma"/>
          <w:sz w:val="20"/>
          <w:szCs w:val="20"/>
        </w:rPr>
      </w:pPr>
      <w:r w:rsidRPr="004D79BA">
        <w:rPr>
          <w:rFonts w:ascii="Cambria" w:hAnsi="Cambria" w:cs="Tahoma"/>
          <w:sz w:val="20"/>
          <w:szCs w:val="20"/>
          <w:vertAlign w:val="superscript"/>
          <w:lang w:val="id-ID"/>
        </w:rPr>
        <w:t>1</w:t>
      </w:r>
      <w:r w:rsidR="00002900" w:rsidRPr="004D79BA">
        <w:rPr>
          <w:rFonts w:ascii="Cambria" w:hAnsi="Cambria" w:cs="Tahoma"/>
          <w:sz w:val="20"/>
          <w:szCs w:val="20"/>
        </w:rPr>
        <w:t xml:space="preserve">Faculty of Economics and Islamic Business, UIN </w:t>
      </w:r>
      <w:proofErr w:type="spellStart"/>
      <w:r w:rsidR="00002900" w:rsidRPr="004D79BA">
        <w:rPr>
          <w:rFonts w:ascii="Cambria" w:hAnsi="Cambria" w:cs="Tahoma"/>
          <w:sz w:val="20"/>
          <w:szCs w:val="20"/>
        </w:rPr>
        <w:t>Salatiga</w:t>
      </w:r>
      <w:proofErr w:type="spellEnd"/>
    </w:p>
    <w:p w:rsidR="00002900" w:rsidRPr="004D79BA" w:rsidRDefault="002A3B4B" w:rsidP="00F35E8B">
      <w:pPr>
        <w:spacing w:after="0" w:line="360" w:lineRule="auto"/>
        <w:jc w:val="center"/>
        <w:rPr>
          <w:rFonts w:ascii="Cambria" w:hAnsi="Cambria" w:cs="Tahoma"/>
          <w:sz w:val="20"/>
          <w:szCs w:val="20"/>
          <w:lang w:val="id-ID"/>
        </w:rPr>
      </w:pPr>
      <w:r w:rsidRPr="004D79BA">
        <w:rPr>
          <w:rFonts w:ascii="Cambria" w:hAnsi="Cambria" w:cs="Tahoma"/>
          <w:sz w:val="20"/>
          <w:szCs w:val="20"/>
          <w:vertAlign w:val="superscript"/>
          <w:lang w:val="id-ID"/>
        </w:rPr>
        <w:t>2</w:t>
      </w:r>
      <w:r w:rsidR="00002900" w:rsidRPr="004D79BA">
        <w:rPr>
          <w:rFonts w:ascii="Cambria" w:hAnsi="Cambria" w:cs="Tahoma"/>
          <w:sz w:val="20"/>
          <w:szCs w:val="20"/>
        </w:rPr>
        <w:t>Faculty of Economics and Islamic Business, UIN</w:t>
      </w:r>
      <w:r w:rsidR="00002900" w:rsidRPr="004D79BA">
        <w:rPr>
          <w:rFonts w:ascii="Cambria" w:hAnsi="Cambria" w:cs="Tahoma"/>
          <w:sz w:val="20"/>
          <w:szCs w:val="20"/>
          <w:lang w:val="id-ID"/>
        </w:rPr>
        <w:t xml:space="preserve"> Raden Fatah</w:t>
      </w:r>
      <w:r w:rsidR="00002900" w:rsidRPr="004D79BA">
        <w:rPr>
          <w:rFonts w:ascii="Cambria" w:hAnsi="Cambria" w:cs="Tahoma"/>
          <w:sz w:val="20"/>
          <w:szCs w:val="20"/>
        </w:rPr>
        <w:t xml:space="preserve"> </w:t>
      </w:r>
      <w:r w:rsidR="00002900" w:rsidRPr="004D79BA">
        <w:rPr>
          <w:rFonts w:ascii="Cambria" w:hAnsi="Cambria" w:cs="Tahoma"/>
          <w:sz w:val="20"/>
          <w:szCs w:val="20"/>
          <w:lang w:val="id-ID"/>
        </w:rPr>
        <w:t>Palembang</w:t>
      </w:r>
    </w:p>
    <w:p w:rsidR="00FD432F" w:rsidRPr="004D79BA" w:rsidRDefault="00FD432F" w:rsidP="00F35E8B">
      <w:pPr>
        <w:spacing w:after="0" w:line="360" w:lineRule="auto"/>
        <w:jc w:val="center"/>
        <w:rPr>
          <w:rFonts w:ascii="Cambria" w:hAnsi="Cambria" w:cs="Tahoma"/>
          <w:sz w:val="20"/>
          <w:szCs w:val="20"/>
          <w:lang w:val="id-ID"/>
        </w:rPr>
      </w:pPr>
      <w:r w:rsidRPr="004D79BA">
        <w:rPr>
          <w:rFonts w:ascii="Cambria" w:hAnsi="Cambria" w:cs="Tahoma"/>
          <w:sz w:val="20"/>
          <w:szCs w:val="20"/>
          <w:vertAlign w:val="superscript"/>
          <w:lang w:val="id-ID"/>
        </w:rPr>
        <w:t>3</w:t>
      </w:r>
      <w:r w:rsidRPr="004D79BA">
        <w:rPr>
          <w:rFonts w:ascii="Cambria" w:hAnsi="Cambria" w:cs="Tahoma"/>
          <w:sz w:val="20"/>
          <w:szCs w:val="20"/>
        </w:rPr>
        <w:t>Faculty of Economics and Islamic Business, UIN</w:t>
      </w:r>
      <w:r w:rsidRPr="004D79BA">
        <w:rPr>
          <w:rFonts w:ascii="Cambria" w:hAnsi="Cambria" w:cs="Tahoma"/>
          <w:sz w:val="20"/>
          <w:szCs w:val="20"/>
          <w:lang w:val="id-ID"/>
        </w:rPr>
        <w:t xml:space="preserve"> Raden Mas Said Surakarta</w:t>
      </w:r>
    </w:p>
    <w:p w:rsidR="00FD432F" w:rsidRPr="004D79BA" w:rsidRDefault="00FD432F" w:rsidP="00FD432F">
      <w:pPr>
        <w:spacing w:after="0" w:line="360" w:lineRule="auto"/>
        <w:jc w:val="center"/>
        <w:rPr>
          <w:rFonts w:ascii="Cambria" w:hAnsi="Cambria" w:cs="Tahoma"/>
          <w:sz w:val="20"/>
          <w:szCs w:val="20"/>
        </w:rPr>
      </w:pPr>
      <w:r w:rsidRPr="004D79BA">
        <w:rPr>
          <w:rFonts w:ascii="Cambria" w:hAnsi="Cambria" w:cs="Tahoma"/>
          <w:sz w:val="20"/>
          <w:szCs w:val="20"/>
          <w:vertAlign w:val="superscript"/>
          <w:lang w:val="id-ID"/>
        </w:rPr>
        <w:t>4</w:t>
      </w:r>
      <w:r w:rsidRPr="004D79BA">
        <w:rPr>
          <w:rFonts w:ascii="Cambria" w:hAnsi="Cambria" w:cs="Tahoma"/>
          <w:sz w:val="20"/>
          <w:szCs w:val="20"/>
        </w:rPr>
        <w:t xml:space="preserve">Faculty of Economics and Islamic Business, UIN </w:t>
      </w:r>
      <w:proofErr w:type="spellStart"/>
      <w:r w:rsidRPr="004D79BA">
        <w:rPr>
          <w:rFonts w:ascii="Cambria" w:hAnsi="Cambria" w:cs="Tahoma"/>
          <w:sz w:val="20"/>
          <w:szCs w:val="20"/>
        </w:rPr>
        <w:t>Salatiga</w:t>
      </w:r>
      <w:proofErr w:type="spellEnd"/>
    </w:p>
    <w:p w:rsidR="004D79BA" w:rsidRPr="004D79BA" w:rsidRDefault="004D79BA" w:rsidP="004D79BA">
      <w:pPr>
        <w:spacing w:after="0" w:line="360" w:lineRule="auto"/>
        <w:jc w:val="center"/>
        <w:rPr>
          <w:rFonts w:ascii="Cambria" w:hAnsi="Cambria" w:cs="Tahoma"/>
          <w:sz w:val="20"/>
          <w:szCs w:val="20"/>
          <w:lang w:val="id-ID"/>
        </w:rPr>
      </w:pPr>
      <w:r w:rsidRPr="004D79BA">
        <w:rPr>
          <w:rFonts w:ascii="Cambria" w:hAnsi="Cambria" w:cs="Arial"/>
          <w:color w:val="222222"/>
          <w:sz w:val="20"/>
          <w:szCs w:val="20"/>
          <w:shd w:val="clear" w:color="auto" w:fill="FFFFFF"/>
          <w:vertAlign w:val="superscript"/>
          <w:lang w:val="id-ID"/>
        </w:rPr>
        <w:t>5</w:t>
      </w:r>
      <w:r w:rsidRPr="004D79BA">
        <w:rPr>
          <w:rFonts w:ascii="Cambria" w:hAnsi="Cambria" w:cs="Arial"/>
          <w:color w:val="222222"/>
          <w:sz w:val="20"/>
          <w:szCs w:val="20"/>
          <w:shd w:val="clear" w:color="auto" w:fill="FFFFFF"/>
          <w:lang w:val="id-ID"/>
        </w:rPr>
        <w:t>Universiti Islam Sulthan Sharif Ali Brunei Darussalam</w:t>
      </w:r>
    </w:p>
    <w:p w:rsidR="00002900" w:rsidRPr="000E4FC2" w:rsidRDefault="00002900" w:rsidP="00F35E8B">
      <w:pPr>
        <w:spacing w:after="0" w:line="360" w:lineRule="auto"/>
        <w:jc w:val="center"/>
        <w:rPr>
          <w:rFonts w:ascii="Cambria" w:hAnsi="Cambria" w:cs="Tahoma"/>
          <w:b/>
          <w:sz w:val="20"/>
          <w:szCs w:val="20"/>
          <w:lang w:val="id-ID"/>
        </w:rPr>
      </w:pPr>
      <w:r w:rsidRPr="000E4FC2">
        <w:rPr>
          <w:rFonts w:ascii="Cambria" w:hAnsi="Cambria" w:cs="Tahoma"/>
          <w:b/>
          <w:sz w:val="20"/>
          <w:szCs w:val="20"/>
          <w:lang w:val="id-ID"/>
        </w:rPr>
        <w:t>Email:dinirahmayanti10@uinsalatiga.ac.id</w:t>
      </w:r>
    </w:p>
    <w:p w:rsidR="004D79BA" w:rsidRDefault="004D79BA" w:rsidP="002A3B4B">
      <w:pPr>
        <w:spacing w:after="0" w:line="276" w:lineRule="auto"/>
        <w:ind w:left="1985" w:right="2126"/>
        <w:jc w:val="both"/>
        <w:rPr>
          <w:rFonts w:ascii="Cambria" w:hAnsi="Cambria" w:cs="Tahoma"/>
          <w:b/>
          <w:sz w:val="20"/>
          <w:szCs w:val="20"/>
        </w:rPr>
      </w:pPr>
    </w:p>
    <w:p w:rsidR="008E22B1" w:rsidRDefault="00F35E8B" w:rsidP="002A3B4B">
      <w:pPr>
        <w:spacing w:after="0" w:line="276" w:lineRule="auto"/>
        <w:ind w:left="1985" w:right="2126"/>
        <w:jc w:val="both"/>
        <w:rPr>
          <w:rFonts w:ascii="Cambria" w:hAnsi="Cambria" w:cs="Tahoma"/>
          <w:b/>
          <w:sz w:val="20"/>
          <w:szCs w:val="20"/>
        </w:rPr>
      </w:pPr>
      <w:r w:rsidRPr="00002900">
        <w:rPr>
          <w:rFonts w:ascii="Cambria" w:hAnsi="Cambria" w:cs="Tahoma"/>
          <w:b/>
          <w:sz w:val="20"/>
          <w:szCs w:val="20"/>
        </w:rPr>
        <w:t>Abstract</w:t>
      </w:r>
    </w:p>
    <w:p w:rsidR="00002900" w:rsidRPr="00002900" w:rsidRDefault="00002900" w:rsidP="002A3B4B">
      <w:pPr>
        <w:spacing w:after="0" w:line="276" w:lineRule="auto"/>
        <w:ind w:left="1985" w:right="2126"/>
        <w:jc w:val="both"/>
        <w:rPr>
          <w:rFonts w:ascii="Cambria" w:hAnsi="Cambria" w:cs="Tahoma"/>
          <w:sz w:val="16"/>
          <w:szCs w:val="16"/>
          <w:lang w:val="id-ID"/>
        </w:rPr>
      </w:pPr>
      <w:r w:rsidRPr="00002900">
        <w:rPr>
          <w:rFonts w:ascii="Cambria" w:hAnsi="Cambria" w:cs="Tahoma"/>
          <w:b/>
          <w:sz w:val="16"/>
          <w:szCs w:val="16"/>
          <w:lang w:val="id-ID"/>
        </w:rPr>
        <w:t>Purpose</w:t>
      </w:r>
      <w:r w:rsidRPr="00002900">
        <w:rPr>
          <w:rFonts w:ascii="Cambria" w:hAnsi="Cambria" w:cs="Tahoma"/>
          <w:sz w:val="16"/>
          <w:szCs w:val="16"/>
          <w:lang w:val="id-ID"/>
        </w:rPr>
        <w:t xml:space="preserve"> – </w:t>
      </w:r>
      <w:r w:rsidRPr="00002900">
        <w:rPr>
          <w:rFonts w:ascii="Cambria" w:hAnsi="Cambria" w:cs="Tahoma"/>
          <w:sz w:val="16"/>
          <w:szCs w:val="16"/>
        </w:rPr>
        <w:t>The research aims to analyze the relationship between Islamic banking financing with internal and external factors of Islamic banking</w:t>
      </w:r>
      <w:r w:rsidR="002A3B4B">
        <w:rPr>
          <w:rFonts w:ascii="Cambria" w:hAnsi="Cambria" w:cs="Tahoma"/>
          <w:sz w:val="16"/>
          <w:szCs w:val="16"/>
          <w:lang w:val="id-ID"/>
        </w:rPr>
        <w:t>.</w:t>
      </w:r>
    </w:p>
    <w:p w:rsidR="00002900" w:rsidRPr="00155E45" w:rsidRDefault="00002900" w:rsidP="002A3B4B">
      <w:pPr>
        <w:spacing w:after="0" w:line="276" w:lineRule="auto"/>
        <w:ind w:left="1985" w:right="2126"/>
        <w:jc w:val="both"/>
        <w:rPr>
          <w:rFonts w:ascii="Cambria" w:hAnsi="Cambria" w:cs="Tahoma"/>
          <w:sz w:val="16"/>
          <w:szCs w:val="16"/>
          <w:lang w:val="id-ID"/>
        </w:rPr>
      </w:pPr>
      <w:r w:rsidRPr="00002900">
        <w:rPr>
          <w:rFonts w:ascii="Cambria" w:hAnsi="Cambria" w:cs="Tahoma"/>
          <w:b/>
          <w:sz w:val="16"/>
          <w:szCs w:val="16"/>
          <w:lang w:val="id-ID"/>
        </w:rPr>
        <w:t>Method</w:t>
      </w:r>
      <w:r w:rsidRPr="00002900">
        <w:rPr>
          <w:rFonts w:ascii="Cambria" w:hAnsi="Cambria" w:cs="Tahoma"/>
          <w:sz w:val="16"/>
          <w:szCs w:val="16"/>
          <w:lang w:val="id-ID"/>
        </w:rPr>
        <w:t xml:space="preserve"> – </w:t>
      </w:r>
      <w:r w:rsidRPr="00002900">
        <w:rPr>
          <w:rFonts w:ascii="Cambria" w:hAnsi="Cambria" w:cs="Tahoma"/>
          <w:sz w:val="16"/>
          <w:szCs w:val="16"/>
        </w:rPr>
        <w:t>The analysis uses VECM for the January 2019-2022 period at BUS, UUS, and BPRS.</w:t>
      </w:r>
      <w:r w:rsidR="00155E45">
        <w:rPr>
          <w:rFonts w:ascii="Cambria" w:hAnsi="Cambria" w:cs="Tahoma"/>
          <w:sz w:val="16"/>
          <w:szCs w:val="16"/>
          <w:lang w:val="id-ID"/>
        </w:rPr>
        <w:t xml:space="preserve"> </w:t>
      </w:r>
      <w:r w:rsidR="00155E45">
        <w:rPr>
          <w:spacing w:val="-5"/>
          <w:sz w:val="18"/>
        </w:rPr>
        <w:t xml:space="preserve">Data were obtained </w:t>
      </w:r>
      <w:r w:rsidR="00155E45">
        <w:rPr>
          <w:spacing w:val="-4"/>
          <w:sz w:val="18"/>
        </w:rPr>
        <w:t xml:space="preserve">from the </w:t>
      </w:r>
      <w:r w:rsidR="00155E45">
        <w:rPr>
          <w:spacing w:val="-4"/>
          <w:sz w:val="18"/>
          <w:lang w:val="id-ID"/>
        </w:rPr>
        <w:t>Otoritas Jasa Keuangan (OJK)</w:t>
      </w:r>
      <w:r w:rsidR="00155E45">
        <w:rPr>
          <w:spacing w:val="-4"/>
          <w:sz w:val="18"/>
        </w:rPr>
        <w:t xml:space="preserve"> and</w:t>
      </w:r>
      <w:r w:rsidR="00155E45">
        <w:rPr>
          <w:spacing w:val="-3"/>
          <w:sz w:val="18"/>
        </w:rPr>
        <w:t xml:space="preserve"> </w:t>
      </w:r>
      <w:r w:rsidR="00155E45">
        <w:rPr>
          <w:sz w:val="18"/>
        </w:rPr>
        <w:t>tested</w:t>
      </w:r>
      <w:r w:rsidR="00155E45">
        <w:rPr>
          <w:spacing w:val="-21"/>
          <w:sz w:val="18"/>
        </w:rPr>
        <w:t xml:space="preserve"> </w:t>
      </w:r>
      <w:proofErr w:type="gramStart"/>
      <w:r w:rsidR="00155E45">
        <w:rPr>
          <w:sz w:val="18"/>
        </w:rPr>
        <w:t>using</w:t>
      </w:r>
      <w:r w:rsidR="00155E45">
        <w:rPr>
          <w:spacing w:val="-22"/>
          <w:sz w:val="18"/>
        </w:rPr>
        <w:t xml:space="preserve"> </w:t>
      </w:r>
      <w:r w:rsidR="00155E45">
        <w:rPr>
          <w:sz w:val="18"/>
        </w:rPr>
        <w:t xml:space="preserve"> </w:t>
      </w:r>
      <w:proofErr w:type="spellStart"/>
      <w:r w:rsidR="00155E45">
        <w:rPr>
          <w:sz w:val="18"/>
        </w:rPr>
        <w:t>Eviews</w:t>
      </w:r>
      <w:proofErr w:type="spellEnd"/>
      <w:proofErr w:type="gramEnd"/>
      <w:r w:rsidR="00155E45">
        <w:rPr>
          <w:sz w:val="18"/>
        </w:rPr>
        <w:t>.</w:t>
      </w:r>
    </w:p>
    <w:p w:rsidR="00155E45" w:rsidRPr="00002900" w:rsidRDefault="00002900" w:rsidP="00155E45">
      <w:pPr>
        <w:spacing w:after="0" w:line="276" w:lineRule="auto"/>
        <w:ind w:left="1985" w:right="2126"/>
        <w:jc w:val="both"/>
        <w:rPr>
          <w:rFonts w:ascii="Cambria" w:hAnsi="Cambria" w:cs="Tahoma"/>
          <w:sz w:val="16"/>
          <w:szCs w:val="16"/>
        </w:rPr>
      </w:pPr>
      <w:r w:rsidRPr="00002900">
        <w:rPr>
          <w:rFonts w:ascii="Cambria" w:hAnsi="Cambria" w:cs="Tahoma"/>
          <w:b/>
          <w:sz w:val="16"/>
          <w:szCs w:val="16"/>
          <w:lang w:val="id-ID"/>
        </w:rPr>
        <w:t>Result</w:t>
      </w:r>
      <w:r w:rsidRPr="00002900">
        <w:rPr>
          <w:rFonts w:ascii="Cambria" w:hAnsi="Cambria" w:cs="Tahoma"/>
          <w:sz w:val="16"/>
          <w:szCs w:val="16"/>
          <w:lang w:val="id-ID"/>
        </w:rPr>
        <w:t xml:space="preserve"> – </w:t>
      </w:r>
      <w:r w:rsidRPr="00002900">
        <w:rPr>
          <w:rFonts w:ascii="Cambria" w:hAnsi="Cambria" w:cs="Tahoma"/>
          <w:sz w:val="16"/>
          <w:szCs w:val="16"/>
        </w:rPr>
        <w:t xml:space="preserve">Test results on the long term; NPF and Inflation negatively impact Islamic banking financing. Meanwhile, DPK, NOM, ROA, ERP </w:t>
      </w:r>
      <w:proofErr w:type="spellStart"/>
      <w:r w:rsidRPr="00002900">
        <w:rPr>
          <w:rFonts w:ascii="Cambria" w:hAnsi="Cambria" w:cs="Tahoma"/>
          <w:sz w:val="16"/>
          <w:szCs w:val="16"/>
        </w:rPr>
        <w:t>Musyarakah</w:t>
      </w:r>
      <w:proofErr w:type="spellEnd"/>
      <w:r w:rsidRPr="00002900">
        <w:rPr>
          <w:rFonts w:ascii="Cambria" w:hAnsi="Cambria" w:cs="Tahoma"/>
          <w:sz w:val="16"/>
          <w:szCs w:val="16"/>
        </w:rPr>
        <w:t xml:space="preserve">, and BI rate have a positive direction of significance toward Islamic banking financing. Several variables have a substantial influence on short-term relationships, including the variables DPK, NOM, ROA, equivalent rate of </w:t>
      </w:r>
      <w:proofErr w:type="spellStart"/>
      <w:r w:rsidRPr="00002900">
        <w:rPr>
          <w:rFonts w:ascii="Cambria" w:hAnsi="Cambria" w:cs="Tahoma"/>
          <w:sz w:val="16"/>
          <w:szCs w:val="16"/>
        </w:rPr>
        <w:t>mudharabah</w:t>
      </w:r>
      <w:proofErr w:type="spellEnd"/>
      <w:r w:rsidRPr="00002900">
        <w:rPr>
          <w:rFonts w:ascii="Cambria" w:hAnsi="Cambria" w:cs="Tahoma"/>
          <w:sz w:val="16"/>
          <w:szCs w:val="16"/>
        </w:rPr>
        <w:t>, and Inflation. In the Granger causality test that occurs between the variables used are only unidirectional.</w:t>
      </w:r>
      <w:r w:rsidR="00155E45" w:rsidRPr="00155E45">
        <w:rPr>
          <w:rFonts w:ascii="Cambria" w:hAnsi="Cambria" w:cs="Tahoma"/>
          <w:sz w:val="16"/>
          <w:szCs w:val="16"/>
        </w:rPr>
        <w:t xml:space="preserve"> </w:t>
      </w:r>
      <w:r w:rsidR="00155E45" w:rsidRPr="00002900">
        <w:rPr>
          <w:rFonts w:ascii="Cambria" w:hAnsi="Cambria" w:cs="Tahoma"/>
          <w:sz w:val="16"/>
          <w:szCs w:val="16"/>
        </w:rPr>
        <w:t xml:space="preserve">While the response to Islamic banking financing to the shocks given by the variables here, where many financings respond negatively to the shocks that occur. </w:t>
      </w:r>
    </w:p>
    <w:p w:rsidR="00002900" w:rsidRPr="00002900" w:rsidRDefault="00002900" w:rsidP="002A3B4B">
      <w:pPr>
        <w:spacing w:after="0" w:line="276" w:lineRule="auto"/>
        <w:ind w:left="1985" w:right="2126"/>
        <w:jc w:val="both"/>
        <w:rPr>
          <w:rFonts w:ascii="Cambria" w:hAnsi="Cambria" w:cs="Tahoma"/>
          <w:sz w:val="16"/>
          <w:szCs w:val="16"/>
          <w:lang w:val="id-ID"/>
        </w:rPr>
      </w:pPr>
      <w:r w:rsidRPr="00002900">
        <w:rPr>
          <w:rFonts w:ascii="Cambria" w:hAnsi="Cambria" w:cs="Tahoma"/>
          <w:b/>
          <w:sz w:val="16"/>
          <w:szCs w:val="16"/>
          <w:lang w:val="id-ID"/>
        </w:rPr>
        <w:t>Implication</w:t>
      </w:r>
      <w:r w:rsidRPr="00002900">
        <w:rPr>
          <w:rFonts w:ascii="Cambria" w:hAnsi="Cambria" w:cs="Tahoma"/>
          <w:sz w:val="16"/>
          <w:szCs w:val="16"/>
          <w:lang w:val="id-ID"/>
        </w:rPr>
        <w:t xml:space="preserve"> –</w:t>
      </w:r>
      <w:r w:rsidR="00155E45">
        <w:rPr>
          <w:rFonts w:ascii="Cambria" w:hAnsi="Cambria" w:cs="Tahoma"/>
          <w:sz w:val="16"/>
          <w:szCs w:val="16"/>
          <w:lang w:val="id-ID"/>
        </w:rPr>
        <w:t xml:space="preserve"> </w:t>
      </w:r>
      <w:r w:rsidR="00155E45" w:rsidRPr="00155E45">
        <w:rPr>
          <w:rFonts w:ascii="Cambria" w:hAnsi="Cambria" w:cs="Tahoma"/>
          <w:sz w:val="16"/>
          <w:szCs w:val="16"/>
          <w:lang w:val="id-ID"/>
        </w:rPr>
        <w:t>In order to increase financing in Islamic banks, so that banks as intermediary institutions can function, Islamic banking needs to pay attention to external and external factors.</w:t>
      </w:r>
    </w:p>
    <w:p w:rsidR="00002900" w:rsidRDefault="00002900" w:rsidP="002A3B4B">
      <w:pPr>
        <w:spacing w:after="0" w:line="276" w:lineRule="auto"/>
        <w:ind w:left="1985" w:right="2126"/>
        <w:jc w:val="both"/>
        <w:rPr>
          <w:rFonts w:ascii="Cambria" w:hAnsi="Cambria" w:cs="Tahoma"/>
          <w:sz w:val="16"/>
          <w:szCs w:val="16"/>
          <w:lang w:val="id-ID"/>
        </w:rPr>
      </w:pPr>
      <w:r w:rsidRPr="00EA577A">
        <w:rPr>
          <w:rFonts w:ascii="Cambria" w:hAnsi="Cambria" w:cs="Tahoma"/>
          <w:b/>
          <w:sz w:val="16"/>
          <w:szCs w:val="16"/>
          <w:lang w:val="id-ID"/>
        </w:rPr>
        <w:t>Originality</w:t>
      </w:r>
      <w:r w:rsidRPr="00EA577A">
        <w:rPr>
          <w:rFonts w:ascii="Cambria" w:hAnsi="Cambria" w:cs="Tahoma"/>
          <w:sz w:val="16"/>
          <w:szCs w:val="16"/>
          <w:lang w:val="id-ID"/>
        </w:rPr>
        <w:t xml:space="preserve"> </w:t>
      </w:r>
      <w:r w:rsidR="00860801" w:rsidRPr="00EA577A">
        <w:rPr>
          <w:rFonts w:ascii="Cambria" w:hAnsi="Cambria" w:cs="Tahoma"/>
          <w:sz w:val="16"/>
          <w:szCs w:val="16"/>
          <w:lang w:val="id-ID"/>
        </w:rPr>
        <w:t xml:space="preserve">– </w:t>
      </w:r>
      <w:r w:rsidR="00EA577A" w:rsidRPr="00EA577A">
        <w:rPr>
          <w:rFonts w:ascii="Cambria" w:hAnsi="Cambria" w:cs="Tahoma"/>
          <w:sz w:val="16"/>
          <w:szCs w:val="16"/>
          <w:lang w:val="id-ID"/>
        </w:rPr>
        <w:t>This study uses internal factors including the equivalent rate of musyarakah and mudharabah as well as external factors to see the long and short term effects on financing. In addition, we analyze causality and shocks for each variable</w:t>
      </w:r>
    </w:p>
    <w:p w:rsidR="00860801" w:rsidRPr="00002900" w:rsidRDefault="00860801" w:rsidP="002A3B4B">
      <w:pPr>
        <w:spacing w:after="0" w:line="276" w:lineRule="auto"/>
        <w:ind w:left="1985" w:right="2126"/>
        <w:jc w:val="both"/>
        <w:rPr>
          <w:rFonts w:ascii="Cambria" w:hAnsi="Cambria" w:cs="Tahoma"/>
          <w:sz w:val="16"/>
          <w:szCs w:val="16"/>
          <w:lang w:val="id-ID"/>
        </w:rPr>
      </w:pPr>
    </w:p>
    <w:p w:rsidR="00936DF7" w:rsidRPr="00860801" w:rsidRDefault="00F35E8B" w:rsidP="002A3B4B">
      <w:pPr>
        <w:spacing w:after="0" w:line="276" w:lineRule="auto"/>
        <w:ind w:left="1985" w:right="2126"/>
        <w:jc w:val="both"/>
        <w:rPr>
          <w:rFonts w:ascii="Cambria" w:hAnsi="Cambria" w:cs="Tahoma"/>
          <w:sz w:val="16"/>
          <w:szCs w:val="16"/>
          <w:lang w:val="id-ID"/>
        </w:rPr>
      </w:pPr>
      <w:r w:rsidRPr="00FD1235">
        <w:rPr>
          <w:rFonts w:ascii="Cambria" w:hAnsi="Cambria" w:cs="Tahoma"/>
          <w:b/>
          <w:sz w:val="16"/>
          <w:szCs w:val="16"/>
        </w:rPr>
        <w:t>Keywords</w:t>
      </w:r>
      <w:r w:rsidRPr="00002900">
        <w:rPr>
          <w:rFonts w:ascii="Cambria" w:hAnsi="Cambria" w:cs="Tahoma"/>
          <w:sz w:val="16"/>
          <w:szCs w:val="16"/>
        </w:rPr>
        <w:t xml:space="preserve">: Financing, </w:t>
      </w:r>
      <w:r w:rsidR="00990AE0">
        <w:rPr>
          <w:rFonts w:ascii="Cambria" w:hAnsi="Cambria" w:cs="Tahoma"/>
          <w:sz w:val="16"/>
          <w:szCs w:val="16"/>
          <w:lang w:val="id-ID"/>
        </w:rPr>
        <w:t xml:space="preserve">Sharia </w:t>
      </w:r>
      <w:r w:rsidRPr="00002900">
        <w:rPr>
          <w:rFonts w:ascii="Cambria" w:hAnsi="Cambria" w:cs="Tahoma"/>
          <w:sz w:val="16"/>
          <w:szCs w:val="16"/>
        </w:rPr>
        <w:t>Banking, Macro, VECM</w:t>
      </w:r>
      <w:r w:rsidR="000E4FC2">
        <w:rPr>
          <w:rFonts w:ascii="Cambria" w:hAnsi="Cambria" w:cs="Tahoma"/>
          <w:sz w:val="16"/>
          <w:szCs w:val="16"/>
          <w:lang w:val="id-ID"/>
        </w:rPr>
        <w:t>.</w:t>
      </w:r>
    </w:p>
    <w:p w:rsidR="007670F3" w:rsidRPr="00002900" w:rsidRDefault="007670F3" w:rsidP="000E4301">
      <w:pPr>
        <w:spacing w:after="0" w:line="276" w:lineRule="auto"/>
        <w:jc w:val="both"/>
        <w:rPr>
          <w:rFonts w:ascii="Cambria" w:hAnsi="Cambria" w:cs="Tahoma"/>
          <w:b/>
          <w:sz w:val="24"/>
          <w:szCs w:val="24"/>
        </w:rPr>
      </w:pPr>
    </w:p>
    <w:p w:rsidR="004D79BA" w:rsidRDefault="004D79BA" w:rsidP="00F77A5E">
      <w:pPr>
        <w:spacing w:after="0" w:line="360" w:lineRule="auto"/>
        <w:jc w:val="both"/>
        <w:rPr>
          <w:rFonts w:ascii="Cambria" w:hAnsi="Cambria" w:cs="Tahoma"/>
          <w:b/>
          <w:sz w:val="24"/>
          <w:szCs w:val="24"/>
        </w:rPr>
      </w:pPr>
    </w:p>
    <w:p w:rsidR="004D79BA" w:rsidRDefault="004D79BA" w:rsidP="00F77A5E">
      <w:pPr>
        <w:spacing w:after="0" w:line="360" w:lineRule="auto"/>
        <w:jc w:val="both"/>
        <w:rPr>
          <w:rFonts w:ascii="Cambria" w:hAnsi="Cambria" w:cs="Tahoma"/>
          <w:b/>
          <w:sz w:val="24"/>
          <w:szCs w:val="24"/>
        </w:rPr>
      </w:pPr>
      <w:bookmarkStart w:id="0" w:name="_GoBack"/>
      <w:bookmarkEnd w:id="0"/>
    </w:p>
    <w:p w:rsidR="004D79BA" w:rsidRDefault="00F35E8B" w:rsidP="00F77A5E">
      <w:pPr>
        <w:spacing w:after="0" w:line="360" w:lineRule="auto"/>
        <w:jc w:val="both"/>
        <w:rPr>
          <w:rFonts w:ascii="Cambria" w:hAnsi="Cambria" w:cs="Tahoma"/>
          <w:sz w:val="24"/>
          <w:szCs w:val="24"/>
        </w:rPr>
      </w:pPr>
      <w:r w:rsidRPr="00002900">
        <w:rPr>
          <w:rFonts w:ascii="Cambria" w:hAnsi="Cambria" w:cs="Tahoma"/>
          <w:b/>
          <w:sz w:val="24"/>
          <w:szCs w:val="24"/>
        </w:rPr>
        <w:lastRenderedPageBreak/>
        <w:t>Introduction</w:t>
      </w:r>
      <w:r w:rsidRPr="00002900">
        <w:rPr>
          <w:rFonts w:ascii="Cambria" w:hAnsi="Cambria" w:cs="Tahoma"/>
          <w:sz w:val="24"/>
          <w:szCs w:val="24"/>
        </w:rPr>
        <w:t xml:space="preserve"> </w:t>
      </w:r>
      <w:r w:rsidR="009D3C0A" w:rsidRPr="00002900">
        <w:rPr>
          <w:rFonts w:ascii="Cambria" w:hAnsi="Cambria" w:cs="Tahoma"/>
          <w:sz w:val="24"/>
          <w:szCs w:val="24"/>
        </w:rPr>
        <w:tab/>
      </w:r>
    </w:p>
    <w:p w:rsidR="00BD2F8A" w:rsidRPr="00860801" w:rsidRDefault="00143D92" w:rsidP="004D79BA">
      <w:pPr>
        <w:spacing w:after="0" w:line="360" w:lineRule="auto"/>
        <w:ind w:firstLine="720"/>
        <w:jc w:val="both"/>
        <w:rPr>
          <w:rFonts w:ascii="Cambria" w:hAnsi="Cambria" w:cs="Tahoma"/>
        </w:rPr>
      </w:pPr>
      <w:r w:rsidRPr="00860801">
        <w:rPr>
          <w:rFonts w:ascii="Cambria" w:hAnsi="Cambria" w:cs="Tahoma"/>
        </w:rPr>
        <w:t xml:space="preserve">Islamic banking is an intermediary institution, one of the most important aspects of banking is how banks can channel funds that have been collected for the community. Because the purpose of the distribution of Financing by Islamic banking to the community is to support the implementation of development, increase justice, togetherness, and equal distribution of people's welfare </w:t>
      </w:r>
      <w:r w:rsidRPr="00860801">
        <w:rPr>
          <w:rFonts w:ascii="Cambria" w:hAnsi="Cambria" w:cs="Tahoma"/>
        </w:rPr>
        <w:fldChar w:fldCharType="begin" w:fldLock="1"/>
      </w:r>
      <w:r w:rsidR="00654B98" w:rsidRPr="00860801">
        <w:rPr>
          <w:rFonts w:ascii="Cambria" w:hAnsi="Cambria" w:cs="Tahoma"/>
        </w:rPr>
        <w:instrText>ADDIN CSL_CITATION {"citationItems":[{"id":"ITEM-1","itemData":{"author":[{"dropping-particle":"","family":"Wangsawidjaja","given":"","non-dropping-particle":"","parse-names":false,"suffix":""}],"id":"ITEM-1","issued":{"date-parts":[["2012"]]},"publisher":"Gramedia Pustaka Utama","publisher-place":"Jakarta","title":"Bank Syariah Financing","type":"book"},"uris":["http://www.mendeley.com/documents/?uuid=420ce12c-28e8-4f64-a3a8-c0992301e196"]}],"mendeley":{"formattedCitation":"(Wangsawidjaja, 2012)","plainTextFormattedCitation":"(Wangsawidjaja, 2012)","previouslyFormattedCitation":"(Wangsawidjaja, 2012)"},"properties":{"noteIndex":0},"schema":"https://github.com/citation-style-language/schema/raw/master/csl-citation.json"}</w:instrText>
      </w:r>
      <w:r w:rsidRPr="00860801">
        <w:rPr>
          <w:rFonts w:ascii="Cambria" w:hAnsi="Cambria" w:cs="Tahoma"/>
        </w:rPr>
        <w:fldChar w:fldCharType="separate"/>
      </w:r>
      <w:r w:rsidRPr="00860801">
        <w:rPr>
          <w:rFonts w:ascii="Cambria" w:hAnsi="Cambria" w:cs="Tahoma"/>
          <w:noProof/>
        </w:rPr>
        <w:t>(Wangsawidjaja, 2012)</w:t>
      </w:r>
      <w:r w:rsidRPr="00860801">
        <w:rPr>
          <w:rFonts w:ascii="Cambria" w:hAnsi="Cambria" w:cs="Tahoma"/>
        </w:rPr>
        <w:fldChar w:fldCharType="end"/>
      </w:r>
      <w:r w:rsidR="00105284" w:rsidRPr="00860801">
        <w:rPr>
          <w:rFonts w:ascii="Cambria" w:hAnsi="Cambria" w:cs="Tahoma"/>
        </w:rPr>
        <w:t xml:space="preserve">. </w:t>
      </w:r>
      <w:r w:rsidR="00F00B79" w:rsidRPr="00860801">
        <w:rPr>
          <w:rFonts w:ascii="Cambria" w:hAnsi="Cambria" w:cs="Tahoma"/>
        </w:rPr>
        <w:t xml:space="preserve">Community needs for financing services from Islamic banking include Islamic banking that does not use interest but rather profit sharing, products, and services that are more varied (there are </w:t>
      </w:r>
      <w:proofErr w:type="spellStart"/>
      <w:r w:rsidR="00F00B79" w:rsidRPr="00860801">
        <w:rPr>
          <w:rFonts w:ascii="Cambria" w:hAnsi="Cambria" w:cs="Tahoma"/>
        </w:rPr>
        <w:t>ijarah</w:t>
      </w:r>
      <w:proofErr w:type="spellEnd"/>
      <w:r w:rsidR="00F00B79" w:rsidRPr="00860801">
        <w:rPr>
          <w:rFonts w:ascii="Cambria" w:hAnsi="Cambria" w:cs="Tahoma"/>
        </w:rPr>
        <w:t xml:space="preserve">, </w:t>
      </w:r>
      <w:proofErr w:type="spellStart"/>
      <w:r w:rsidR="00F00B79" w:rsidRPr="00860801">
        <w:rPr>
          <w:rFonts w:ascii="Cambria" w:hAnsi="Cambria" w:cs="Tahoma"/>
        </w:rPr>
        <w:t>musyarakah</w:t>
      </w:r>
      <w:proofErr w:type="spellEnd"/>
      <w:r w:rsidR="00F00B79" w:rsidRPr="00860801">
        <w:rPr>
          <w:rFonts w:ascii="Cambria" w:hAnsi="Cambria" w:cs="Tahoma"/>
        </w:rPr>
        <w:t xml:space="preserve">, </w:t>
      </w:r>
      <w:proofErr w:type="spellStart"/>
      <w:r w:rsidR="00F00B79" w:rsidRPr="00860801">
        <w:rPr>
          <w:rFonts w:ascii="Cambria" w:hAnsi="Cambria" w:cs="Tahoma"/>
        </w:rPr>
        <w:t>mudharabah</w:t>
      </w:r>
      <w:proofErr w:type="spellEnd"/>
      <w:r w:rsidR="00F00B79" w:rsidRPr="00860801">
        <w:rPr>
          <w:rFonts w:ascii="Cambria" w:hAnsi="Cambria" w:cs="Tahoma"/>
        </w:rPr>
        <w:t xml:space="preserve">, </w:t>
      </w:r>
      <w:proofErr w:type="spellStart"/>
      <w:r w:rsidR="00F00B79" w:rsidRPr="00860801">
        <w:rPr>
          <w:rFonts w:ascii="Cambria" w:hAnsi="Cambria" w:cs="Tahoma"/>
        </w:rPr>
        <w:t>murabahah</w:t>
      </w:r>
      <w:proofErr w:type="spellEnd"/>
      <w:r w:rsidR="00F00B79" w:rsidRPr="00860801">
        <w:rPr>
          <w:rFonts w:ascii="Cambria" w:hAnsi="Cambria" w:cs="Tahoma"/>
        </w:rPr>
        <w:t xml:space="preserve"> contracts). </w:t>
      </w:r>
      <w:r w:rsidR="004221A8" w:rsidRPr="00860801">
        <w:rPr>
          <w:rFonts w:ascii="Cambria" w:hAnsi="Cambria" w:cs="Tahoma"/>
        </w:rPr>
        <w:t>Therefore, it is hoped that the disbursed Financing will have an impact on economic growth through business expansion, job creation, and increased production, which will generate more income.</w:t>
      </w:r>
    </w:p>
    <w:p w:rsidR="004221A8" w:rsidRPr="00860801" w:rsidRDefault="00F35E8B" w:rsidP="00F07630">
      <w:pPr>
        <w:spacing w:after="0" w:line="360" w:lineRule="auto"/>
        <w:ind w:firstLine="720"/>
        <w:jc w:val="both"/>
        <w:rPr>
          <w:rFonts w:ascii="Cambria" w:hAnsi="Cambria" w:cs="Tahoma"/>
        </w:rPr>
      </w:pPr>
      <w:r w:rsidRPr="00860801">
        <w:rPr>
          <w:rFonts w:ascii="Cambria" w:hAnsi="Cambria" w:cs="Tahoma"/>
        </w:rPr>
        <w:t xml:space="preserve">The increase or decrease in Financing channeled by Islamic banking is influenced by various internal and external factors, as the diagram below shows </w:t>
      </w:r>
      <w:proofErr w:type="gramStart"/>
      <w:r w:rsidRPr="00860801">
        <w:rPr>
          <w:rFonts w:ascii="Cambria" w:hAnsi="Cambria" w:cs="Tahoma"/>
        </w:rPr>
        <w:t>Financing</w:t>
      </w:r>
      <w:proofErr w:type="gramEnd"/>
      <w:r w:rsidRPr="00860801">
        <w:rPr>
          <w:rFonts w:ascii="Cambria" w:hAnsi="Cambria" w:cs="Tahoma"/>
        </w:rPr>
        <w:t xml:space="preserve"> based on the contract used.</w:t>
      </w:r>
    </w:p>
    <w:p w:rsidR="00137FED" w:rsidRPr="00002900" w:rsidRDefault="00F35E8B" w:rsidP="00F07630">
      <w:pPr>
        <w:spacing w:after="0" w:line="360" w:lineRule="auto"/>
        <w:ind w:firstLine="720"/>
        <w:jc w:val="both"/>
        <w:rPr>
          <w:rFonts w:ascii="Cambria" w:hAnsi="Cambria" w:cs="Tahoma"/>
          <w:sz w:val="24"/>
          <w:szCs w:val="24"/>
        </w:rPr>
      </w:pPr>
      <w:r w:rsidRPr="00002900">
        <w:rPr>
          <w:rFonts w:ascii="Cambria" w:hAnsi="Cambria" w:cs="Tahoma"/>
          <w:noProof/>
          <w:sz w:val="24"/>
          <w:szCs w:val="24"/>
          <w:lang w:val="id-ID" w:eastAsia="id-ID"/>
        </w:rPr>
        <w:drawing>
          <wp:inline distT="0" distB="0" distL="0" distR="0">
            <wp:extent cx="4491104" cy="2873264"/>
            <wp:effectExtent l="0" t="0" r="508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37FED" w:rsidRDefault="00F35E8B" w:rsidP="00F07630">
      <w:pPr>
        <w:spacing w:after="0" w:line="360" w:lineRule="auto"/>
        <w:ind w:firstLine="720"/>
        <w:jc w:val="both"/>
        <w:rPr>
          <w:rFonts w:ascii="Cambria" w:hAnsi="Cambria" w:cs="Tahoma"/>
          <w:sz w:val="20"/>
          <w:szCs w:val="20"/>
        </w:rPr>
      </w:pPr>
      <w:r w:rsidRPr="00860801">
        <w:rPr>
          <w:rFonts w:ascii="Cambria" w:hAnsi="Cambria" w:cs="Tahoma"/>
          <w:sz w:val="20"/>
          <w:szCs w:val="20"/>
        </w:rPr>
        <w:t>Source: Sharia Banking Statistics (data processed)</w:t>
      </w:r>
    </w:p>
    <w:p w:rsidR="00F97264" w:rsidRPr="00F97264" w:rsidRDefault="00F97264" w:rsidP="00F97264">
      <w:pPr>
        <w:spacing w:after="0" w:line="360" w:lineRule="auto"/>
        <w:ind w:firstLine="720"/>
        <w:jc w:val="center"/>
        <w:rPr>
          <w:rFonts w:ascii="Cambria" w:hAnsi="Cambria" w:cs="Tahoma"/>
          <w:b/>
          <w:sz w:val="20"/>
          <w:szCs w:val="20"/>
          <w:lang w:val="id-ID"/>
        </w:rPr>
      </w:pPr>
      <w:r w:rsidRPr="00F97264">
        <w:rPr>
          <w:rFonts w:ascii="Cambria" w:hAnsi="Cambria" w:cs="Tahoma"/>
          <w:b/>
          <w:sz w:val="20"/>
          <w:szCs w:val="20"/>
          <w:lang w:val="id-ID"/>
        </w:rPr>
        <w:t>Figure 1. Financing BUS and UUS</w:t>
      </w:r>
    </w:p>
    <w:p w:rsidR="007B2638" w:rsidRPr="00002900" w:rsidRDefault="007B2638" w:rsidP="00F07630">
      <w:pPr>
        <w:spacing w:after="0" w:line="360" w:lineRule="auto"/>
        <w:ind w:firstLine="709"/>
        <w:jc w:val="both"/>
        <w:rPr>
          <w:rFonts w:ascii="Cambria" w:hAnsi="Cambria" w:cs="Tahoma"/>
          <w:sz w:val="24"/>
          <w:szCs w:val="24"/>
        </w:rPr>
      </w:pPr>
    </w:p>
    <w:p w:rsidR="00407478" w:rsidRPr="00860801" w:rsidRDefault="00F35E8B" w:rsidP="00F07630">
      <w:pPr>
        <w:spacing w:after="0" w:line="360" w:lineRule="auto"/>
        <w:ind w:firstLine="709"/>
        <w:jc w:val="both"/>
        <w:rPr>
          <w:rFonts w:ascii="Cambria" w:hAnsi="Cambria" w:cs="Tahoma"/>
        </w:rPr>
      </w:pPr>
      <w:r w:rsidRPr="00860801">
        <w:rPr>
          <w:rFonts w:ascii="Cambria" w:hAnsi="Cambria" w:cs="Tahoma"/>
        </w:rPr>
        <w:t xml:space="preserve">From the diagram above, the Financing distributed by Islamic Commercial Banks and Sharia Business Units based on the type of contract from 2016 to 2021 shows an increase, and the contracts used are dominated by Financing using </w:t>
      </w:r>
      <w:proofErr w:type="spellStart"/>
      <w:r w:rsidRPr="00860801">
        <w:rPr>
          <w:rFonts w:ascii="Cambria" w:hAnsi="Cambria" w:cs="Tahoma"/>
        </w:rPr>
        <w:t>Murabahah</w:t>
      </w:r>
      <w:proofErr w:type="spellEnd"/>
      <w:r w:rsidRPr="00860801">
        <w:rPr>
          <w:rFonts w:ascii="Cambria" w:hAnsi="Cambria" w:cs="Tahoma"/>
        </w:rPr>
        <w:t xml:space="preserve"> contracts, followed by </w:t>
      </w:r>
      <w:proofErr w:type="spellStart"/>
      <w:r w:rsidRPr="00860801">
        <w:rPr>
          <w:rFonts w:ascii="Cambria" w:hAnsi="Cambria" w:cs="Tahoma"/>
        </w:rPr>
        <w:t>Musyarakah</w:t>
      </w:r>
      <w:proofErr w:type="spellEnd"/>
      <w:r w:rsidRPr="00860801">
        <w:rPr>
          <w:rFonts w:ascii="Cambria" w:hAnsi="Cambria" w:cs="Tahoma"/>
        </w:rPr>
        <w:t xml:space="preserve"> contracts and </w:t>
      </w:r>
      <w:proofErr w:type="spellStart"/>
      <w:r w:rsidRPr="00860801">
        <w:rPr>
          <w:rFonts w:ascii="Cambria" w:hAnsi="Cambria" w:cs="Tahoma"/>
        </w:rPr>
        <w:t>Mudharabah</w:t>
      </w:r>
      <w:proofErr w:type="spellEnd"/>
      <w:r w:rsidRPr="00860801">
        <w:rPr>
          <w:rFonts w:ascii="Cambria" w:hAnsi="Cambria" w:cs="Tahoma"/>
        </w:rPr>
        <w:t xml:space="preserve"> contracts. However, customers who use </w:t>
      </w:r>
      <w:proofErr w:type="spellStart"/>
      <w:r w:rsidRPr="00860801">
        <w:rPr>
          <w:rFonts w:ascii="Cambria" w:hAnsi="Cambria" w:cs="Tahoma"/>
        </w:rPr>
        <w:t>ijarah</w:t>
      </w:r>
      <w:proofErr w:type="spellEnd"/>
      <w:r w:rsidRPr="00860801">
        <w:rPr>
          <w:rFonts w:ascii="Cambria" w:hAnsi="Cambria" w:cs="Tahoma"/>
        </w:rPr>
        <w:t xml:space="preserve">, </w:t>
      </w:r>
      <w:proofErr w:type="spellStart"/>
      <w:r w:rsidRPr="00860801">
        <w:rPr>
          <w:rFonts w:ascii="Cambria" w:hAnsi="Cambria" w:cs="Tahoma"/>
        </w:rPr>
        <w:t>istishna</w:t>
      </w:r>
      <w:proofErr w:type="spellEnd"/>
      <w:r w:rsidRPr="00860801">
        <w:rPr>
          <w:rFonts w:ascii="Cambria" w:hAnsi="Cambria" w:cs="Tahoma"/>
        </w:rPr>
        <w:t xml:space="preserve">, and </w:t>
      </w:r>
      <w:proofErr w:type="spellStart"/>
      <w:r w:rsidRPr="00860801">
        <w:rPr>
          <w:rFonts w:ascii="Cambria" w:hAnsi="Cambria" w:cs="Tahoma"/>
        </w:rPr>
        <w:t>Qardh</w:t>
      </w:r>
      <w:proofErr w:type="spellEnd"/>
      <w:r w:rsidRPr="00860801">
        <w:rPr>
          <w:rFonts w:ascii="Cambria" w:hAnsi="Cambria" w:cs="Tahoma"/>
        </w:rPr>
        <w:t xml:space="preserve">, and </w:t>
      </w:r>
      <w:proofErr w:type="spellStart"/>
      <w:r w:rsidRPr="00860801">
        <w:rPr>
          <w:rFonts w:ascii="Cambria" w:hAnsi="Cambria" w:cs="Tahoma"/>
        </w:rPr>
        <w:t>mudharabah</w:t>
      </w:r>
      <w:proofErr w:type="spellEnd"/>
      <w:r w:rsidRPr="00860801">
        <w:rPr>
          <w:rFonts w:ascii="Cambria" w:hAnsi="Cambria" w:cs="Tahoma"/>
        </w:rPr>
        <w:t xml:space="preserve"> contracts still tend to be very few. If you </w:t>
      </w:r>
      <w:r w:rsidRPr="00860801">
        <w:rPr>
          <w:rFonts w:ascii="Cambria" w:hAnsi="Cambria" w:cs="Tahoma"/>
        </w:rPr>
        <w:lastRenderedPageBreak/>
        <w:t xml:space="preserve">look at the data for 2019-2021 during the Covid-19 period, financing distribution continued to be increased, but the data did not increase significantly. Communities tend to use </w:t>
      </w:r>
      <w:proofErr w:type="spellStart"/>
      <w:r w:rsidRPr="00860801">
        <w:rPr>
          <w:rFonts w:ascii="Cambria" w:hAnsi="Cambria" w:cs="Tahoma"/>
        </w:rPr>
        <w:t>musyarakah</w:t>
      </w:r>
      <w:proofErr w:type="spellEnd"/>
      <w:r w:rsidRPr="00860801">
        <w:rPr>
          <w:rFonts w:ascii="Cambria" w:hAnsi="Cambria" w:cs="Tahoma"/>
        </w:rPr>
        <w:t xml:space="preserve"> contracts for </w:t>
      </w:r>
      <w:r w:rsidR="007B2638" w:rsidRPr="00860801">
        <w:rPr>
          <w:rFonts w:ascii="Cambria" w:hAnsi="Cambria" w:cs="Tahoma"/>
        </w:rPr>
        <w:t xml:space="preserve">business </w:t>
      </w:r>
      <w:proofErr w:type="gramStart"/>
      <w:r w:rsidR="007B2638" w:rsidRPr="00860801">
        <w:rPr>
          <w:rFonts w:ascii="Cambria" w:hAnsi="Cambria" w:cs="Tahoma"/>
        </w:rPr>
        <w:t xml:space="preserve">financing </w:t>
      </w:r>
      <w:r w:rsidR="00076B81" w:rsidRPr="00860801">
        <w:rPr>
          <w:rFonts w:ascii="Cambria" w:hAnsi="Cambria" w:cs="Tahoma"/>
        </w:rPr>
        <w:t>,</w:t>
      </w:r>
      <w:proofErr w:type="gramEnd"/>
      <w:r w:rsidR="00076B81" w:rsidRPr="00860801">
        <w:rPr>
          <w:rFonts w:ascii="Cambria" w:hAnsi="Cambria" w:cs="Tahoma"/>
        </w:rPr>
        <w:t xml:space="preserve"> where capital comes from both parties. That is, people who get </w:t>
      </w:r>
      <w:proofErr w:type="gramStart"/>
      <w:r w:rsidR="00076B81" w:rsidRPr="00860801">
        <w:rPr>
          <w:rFonts w:ascii="Cambria" w:hAnsi="Cambria" w:cs="Tahoma"/>
        </w:rPr>
        <w:t>Financing</w:t>
      </w:r>
      <w:proofErr w:type="gramEnd"/>
      <w:r w:rsidR="00076B81" w:rsidRPr="00860801">
        <w:rPr>
          <w:rFonts w:ascii="Cambria" w:hAnsi="Cambria" w:cs="Tahoma"/>
        </w:rPr>
        <w:t xml:space="preserve"> from Islamic banking are people who already have an ongoing business, already have sufficient capital, so they intend to expand their business. With the conditions in this </w:t>
      </w:r>
      <w:proofErr w:type="spellStart"/>
      <w:r w:rsidR="00076B81" w:rsidRPr="00860801">
        <w:rPr>
          <w:rFonts w:ascii="Cambria" w:hAnsi="Cambria" w:cs="Tahoma"/>
        </w:rPr>
        <w:t>musyarakah</w:t>
      </w:r>
      <w:proofErr w:type="spellEnd"/>
      <w:r w:rsidR="00076B81" w:rsidRPr="00860801">
        <w:rPr>
          <w:rFonts w:ascii="Cambria" w:hAnsi="Cambria" w:cs="Tahoma"/>
        </w:rPr>
        <w:t xml:space="preserve"> contract, the returns made by the customer will tend to be smooth, so the risk related to bad loans that the bank will receive is very small because the customer already has an ongoing business and sufficient capital.</w:t>
      </w:r>
    </w:p>
    <w:p w:rsidR="003E119C" w:rsidRPr="00860801" w:rsidRDefault="00F35E8B" w:rsidP="003E119C">
      <w:pPr>
        <w:pStyle w:val="NormalWeb"/>
        <w:spacing w:before="0" w:beforeAutospacing="0" w:after="0" w:afterAutospacing="0" w:line="360" w:lineRule="auto"/>
        <w:ind w:firstLine="709"/>
        <w:jc w:val="both"/>
        <w:rPr>
          <w:rFonts w:ascii="Cambria" w:hAnsi="Cambria" w:cs="Tahoma"/>
          <w:sz w:val="22"/>
          <w:szCs w:val="22"/>
        </w:rPr>
      </w:pPr>
      <w:r w:rsidRPr="00860801">
        <w:rPr>
          <w:rFonts w:ascii="Cambria" w:hAnsi="Cambria" w:cs="Tahoma"/>
          <w:sz w:val="22"/>
          <w:szCs w:val="22"/>
        </w:rPr>
        <w:t xml:space="preserve">Islamic banking in carrying out financial intermediation through disbursed Financing, where the growth of assets in an institution, namely Islamic banking, will affect the total Financing distributed by Islamic banking. Data obtained during the observation period 2019-2022, where total Islamic banking assets show an increase every year, where total Islamic banking assets for 2019-2021 are </w:t>
      </w:r>
      <w:proofErr w:type="spellStart"/>
      <w:r w:rsidRPr="00860801">
        <w:rPr>
          <w:rFonts w:ascii="Cambria" w:hAnsi="Cambria" w:cs="Tahoma"/>
          <w:sz w:val="22"/>
          <w:szCs w:val="22"/>
        </w:rPr>
        <w:t>Rp</w:t>
      </w:r>
      <w:proofErr w:type="spellEnd"/>
      <w:r w:rsidRPr="00860801">
        <w:rPr>
          <w:rFonts w:ascii="Cambria" w:hAnsi="Cambria" w:cs="Tahoma"/>
          <w:sz w:val="22"/>
          <w:szCs w:val="22"/>
        </w:rPr>
        <w:t xml:space="preserve">. </w:t>
      </w:r>
      <w:r w:rsidR="00215CB5" w:rsidRPr="00860801">
        <w:rPr>
          <w:rFonts w:ascii="Cambria" w:hAnsi="Cambria" w:cs="Tahoma"/>
          <w:color w:val="000000"/>
          <w:sz w:val="22"/>
          <w:szCs w:val="22"/>
        </w:rPr>
        <w:t xml:space="preserve">350,364, </w:t>
      </w:r>
      <w:proofErr w:type="spellStart"/>
      <w:r w:rsidR="00215CB5" w:rsidRPr="00860801">
        <w:rPr>
          <w:rFonts w:ascii="Cambria" w:hAnsi="Cambria" w:cs="Tahoma"/>
          <w:color w:val="000000"/>
          <w:sz w:val="22"/>
          <w:szCs w:val="22"/>
        </w:rPr>
        <w:t>Rp</w:t>
      </w:r>
      <w:proofErr w:type="spellEnd"/>
      <w:r w:rsidR="00215CB5" w:rsidRPr="00860801">
        <w:rPr>
          <w:rFonts w:ascii="Cambria" w:hAnsi="Cambria" w:cs="Tahoma"/>
          <w:color w:val="000000"/>
          <w:sz w:val="22"/>
          <w:szCs w:val="22"/>
        </w:rPr>
        <w:t xml:space="preserve">. 397,073 and </w:t>
      </w:r>
      <w:proofErr w:type="spellStart"/>
      <w:r w:rsidR="00215CB5" w:rsidRPr="00860801">
        <w:rPr>
          <w:rFonts w:ascii="Cambria" w:hAnsi="Cambria" w:cs="Tahoma"/>
          <w:color w:val="000000"/>
          <w:sz w:val="22"/>
          <w:szCs w:val="22"/>
        </w:rPr>
        <w:t>Rp</w:t>
      </w:r>
      <w:proofErr w:type="spellEnd"/>
      <w:r w:rsidR="00215CB5" w:rsidRPr="00860801">
        <w:rPr>
          <w:rFonts w:ascii="Cambria" w:hAnsi="Cambria" w:cs="Tahoma"/>
          <w:color w:val="000000"/>
          <w:sz w:val="22"/>
          <w:szCs w:val="22"/>
        </w:rPr>
        <w:t xml:space="preserve">. 441,789 in billion </w:t>
      </w:r>
      <w:proofErr w:type="gramStart"/>
      <w:r w:rsidR="00215CB5" w:rsidRPr="00860801">
        <w:rPr>
          <w:rFonts w:ascii="Cambria" w:hAnsi="Cambria" w:cs="Tahoma"/>
          <w:color w:val="000000"/>
          <w:sz w:val="22"/>
          <w:szCs w:val="22"/>
        </w:rPr>
        <w:t xml:space="preserve">Rupiah </w:t>
      </w:r>
      <w:r w:rsidR="0025192E" w:rsidRPr="00860801">
        <w:rPr>
          <w:rFonts w:ascii="Cambria" w:hAnsi="Cambria" w:cs="Tahoma"/>
          <w:sz w:val="22"/>
          <w:szCs w:val="22"/>
        </w:rPr>
        <w:t>.</w:t>
      </w:r>
      <w:proofErr w:type="gramEnd"/>
      <w:r w:rsidR="0025192E" w:rsidRPr="00860801">
        <w:rPr>
          <w:rFonts w:ascii="Cambria" w:hAnsi="Cambria" w:cs="Tahoma"/>
          <w:sz w:val="22"/>
          <w:szCs w:val="22"/>
        </w:rPr>
        <w:t xml:space="preserve"> With the high value of bank assets, it will be increasingly able to improve the sufficient capital structure to guarantee the risk of placing productive assets, one of which is the provision of credit or Financing. This is supported by the fact that the total assets owned by banks have a significant positive effect on the volume of profit-sharing-based Financing in Islamic commercial banks in Indonesia </w:t>
      </w:r>
      <w:r w:rsidR="00215CB5" w:rsidRPr="00860801">
        <w:rPr>
          <w:rFonts w:ascii="Cambria" w:hAnsi="Cambria" w:cs="Tahoma"/>
          <w:sz w:val="22"/>
          <w:szCs w:val="22"/>
        </w:rPr>
        <w:fldChar w:fldCharType="begin" w:fldLock="1"/>
      </w:r>
      <w:r w:rsidR="00654B98" w:rsidRPr="00860801">
        <w:rPr>
          <w:rFonts w:ascii="Cambria" w:hAnsi="Cambria" w:cs="Tahoma"/>
          <w:sz w:val="22"/>
          <w:szCs w:val="22"/>
        </w:rPr>
        <w:instrText>ADDIN CSL_CITATION {"citationItems":[{"id":"ITEM-1","itemData":{"ISBN":"9781317920908","abstract":"This book explores the relationship between problem analysis, leadership, decision making, and change. It contains many problem scenarios, case studies, and vignettes.","author":[{"dropping-particle":"","family":"Kurniawanti","given":"Agustina","non-dropping-particle":"","parse-names":false,"suffix":""}],"container-title":"Seminar Nasional Program Studi Akuntansi FEB-UMS","id":"ITEM-1","issue":"1","issued":{"date-parts":[["2014"]]},"page":"1-24","title":"Analysis of the Factors Influencing the Volume of Profit-Sharing-Based Financing in Islamic Commercial Banks in Indonesia.","type":"article-journal","volume":"39"},"uris":["http://www.mendeley.com/documents/?uuid=03521073-8b37-4b27-9171-9341932941ee"]}],"mendeley":{"formattedCitation":"(Kurniawanti, 2014)","plainTextFormattedCitation":"(Kurniawanti, 2014)","previouslyFormattedCitation":"(Kurniawanti, 2014)"},"properties":{"noteIndex":0},"schema":"https://github.com/citation-style-language/schema/raw/master/csl-citation.json"}</w:instrText>
      </w:r>
      <w:r w:rsidR="00215CB5" w:rsidRPr="00860801">
        <w:rPr>
          <w:rFonts w:ascii="Cambria" w:hAnsi="Cambria" w:cs="Tahoma"/>
          <w:sz w:val="22"/>
          <w:szCs w:val="22"/>
        </w:rPr>
        <w:fldChar w:fldCharType="separate"/>
      </w:r>
      <w:r w:rsidR="00215CB5" w:rsidRPr="00860801">
        <w:rPr>
          <w:rFonts w:ascii="Cambria" w:hAnsi="Cambria" w:cs="Tahoma"/>
          <w:noProof/>
          <w:sz w:val="22"/>
          <w:szCs w:val="22"/>
        </w:rPr>
        <w:t>(Kurniawanti, 2014)</w:t>
      </w:r>
      <w:r w:rsidR="00215CB5" w:rsidRPr="00860801">
        <w:rPr>
          <w:rFonts w:ascii="Cambria" w:hAnsi="Cambria" w:cs="Tahoma"/>
          <w:sz w:val="22"/>
          <w:szCs w:val="22"/>
        </w:rPr>
        <w:fldChar w:fldCharType="end"/>
      </w:r>
      <w:r w:rsidR="0025192E" w:rsidRPr="00860801">
        <w:rPr>
          <w:rFonts w:ascii="Cambria" w:hAnsi="Cambria" w:cs="Tahoma"/>
          <w:sz w:val="22"/>
          <w:szCs w:val="22"/>
        </w:rPr>
        <w:t>.</w:t>
      </w:r>
      <w:r w:rsidR="00215CB5" w:rsidRPr="00860801">
        <w:rPr>
          <w:rFonts w:ascii="Cambria" w:hAnsi="Cambria" w:cs="Tahoma"/>
          <w:sz w:val="22"/>
          <w:szCs w:val="22"/>
        </w:rPr>
        <w:tab/>
      </w:r>
    </w:p>
    <w:p w:rsidR="0007122E" w:rsidRPr="00860801" w:rsidRDefault="00F35E8B" w:rsidP="003E119C">
      <w:pPr>
        <w:pStyle w:val="NormalWeb"/>
        <w:spacing w:before="0" w:beforeAutospacing="0" w:after="0" w:afterAutospacing="0" w:line="360" w:lineRule="auto"/>
        <w:ind w:firstLine="709"/>
        <w:jc w:val="both"/>
        <w:rPr>
          <w:rFonts w:ascii="Cambria" w:hAnsi="Cambria" w:cs="Tahoma"/>
          <w:sz w:val="22"/>
          <w:szCs w:val="22"/>
        </w:rPr>
      </w:pPr>
      <w:r w:rsidRPr="00860801">
        <w:rPr>
          <w:rFonts w:ascii="Cambria" w:hAnsi="Cambria" w:cs="Tahoma"/>
          <w:sz w:val="22"/>
          <w:szCs w:val="22"/>
        </w:rPr>
        <w:t xml:space="preserve">The growth of Third Party Funds shows the performance of Islamic banking in terms of the ability to raise funds. This shows that the performance of Islamic banking has an influence on the Financing channeled by Islamic banking. Assessment of the performance of Islamic banking can also be seen from the ability of bank liquidity or the level of bank profitability which is reflected in Islamic banking financial ratios. This is supported by research results which reveal that Third Party Funds have a significant positive effect on Financing </w:t>
      </w:r>
      <w:r w:rsidR="0003689B" w:rsidRPr="00860801">
        <w:rPr>
          <w:rFonts w:ascii="Cambria" w:hAnsi="Cambria" w:cs="Tahoma"/>
          <w:sz w:val="22"/>
          <w:szCs w:val="22"/>
        </w:rPr>
        <w:fldChar w:fldCharType="begin" w:fldLock="1"/>
      </w:r>
      <w:r w:rsidR="00F96F8A" w:rsidRPr="00860801">
        <w:rPr>
          <w:rFonts w:ascii="Cambria" w:hAnsi="Cambria" w:cs="Tahoma"/>
          <w:sz w:val="22"/>
          <w:szCs w:val="22"/>
        </w:rPr>
        <w:instrText>ADDIN CSL_CITATION {"citationItems":[{"id":"ITEM-1","itemData":{"abstract":"Development of Financing of Islamic banking in Indonesia has increased. However, the amount of financing is only 3-5% when compared to conventional bank loans. This study aims to analyze the factors affecting the amount of financing provided by Islamic banking in Indonesia. This study uses a Vector Error Correction Model (VECM) to see the long-term effect and response to shock that occur in the studied variables. The result shows that in the long run, the percentage of profit and loss sharing, third party funds, and FDR give a positive and significant effect on the financing, while NPF has negative and significant effect. ROA and BOPO have no significant effect on the financing. Shocks that occur in the financing, NPF, and ROA positively responded by financing and will be stable in the long term. While the shocks that occur in the percentage of profit and loss sharing, third party funds, FDR, and BOPO responded negatively by financing and will be stable in the long term. ABSTRAK: Perkembangan pembiayaan perbankan syariah di Indonesia semakin meningkat. Namun, besaran pembiayaan hanya 3-5% jika dibandingkan dengan kredit bank umum konvensional. Tujuan penelitian ini adalah menganalisis faktor-faktor yang mempengaruhi besaran pembiayaan yang disalurkan oleh perbankan syariah di Indonesia. Penelitian ini menggunakan metode Vector Error Correction Model (VECM) untuk melihat pengaruh jangka panjang dan respon terhadap guncangan (shock) yang terjadi pada variabel yang diteliti. Hasil penelitian menunjukkan bahwa dalam jangka panjang, tingkat bagi hasil, DPK, dan FDR memberikan pengaruh positif dan signifikan terhadap pembiayaan, sedangkan NPF memberikan pengaruh yang signifikan negatif. ROA dan BOPO tidak berpengaruh signifikan terhadap pembiayaan. Guncangan yang terjadi pada pembiayaan, NPF, dan ROA direspon positif oleh pembiayaan dan akan stabil dalam jangka panjang. Sedangkan guncangan yang terjadi pada tingkat bagi hasil, DPK, FDR, dan BOPO direspon negatif oleh pembiayaan dan akan stabil dalam jangka panjang.","author":[{"dropping-particle":"","family":"Adzimatinur","given":"Fauziyah","non-dropping-particle":"","parse-names":false,"suffix":""},{"dropping-particle":"","family":"Hartoyo","given":"Sri","non-dropping-particle":"","parse-names":false,"suffix":""},{"dropping-particle":"","family":"Wiliasih","given":"Ranti","non-dropping-particle":"","parse-names":false,"suffix":""}],"container-title":"Jurnal Al-Muzara’ah","id":"ITEM-1","issued":{"date-parts":[["2013"]]},"page":"106-121","title":"Factors Affecting The Amaunt of Financing Islamic Banking in Indonesia","type":"article-journal"},"uris":["http://www.mendeley.com/documents/?uuid=2b71b369-e48e-4270-a033-af1ea7a92f95"]}],"mendeley":{"formattedCitation":"(Adzimatinur et al., 2013)","plainTextFormattedCitation":"(Adzimatinur et al., 2013)","previouslyFormattedCitation":"(Adzimatinur et al., 2013)"},"properties":{"noteIndex":0},"schema":"https://github.com/citation-style-language/schema/raw/master/csl-citation.json"}</w:instrText>
      </w:r>
      <w:r w:rsidR="0003689B" w:rsidRPr="00860801">
        <w:rPr>
          <w:rFonts w:ascii="Cambria" w:hAnsi="Cambria" w:cs="Tahoma"/>
          <w:sz w:val="22"/>
          <w:szCs w:val="22"/>
        </w:rPr>
        <w:fldChar w:fldCharType="separate"/>
      </w:r>
      <w:r w:rsidR="0003689B" w:rsidRPr="00860801">
        <w:rPr>
          <w:rFonts w:ascii="Cambria" w:hAnsi="Cambria" w:cs="Tahoma"/>
          <w:noProof/>
          <w:sz w:val="22"/>
          <w:szCs w:val="22"/>
        </w:rPr>
        <w:t>(Adzimatinur et al., 2013)</w:t>
      </w:r>
      <w:r w:rsidR="0003689B" w:rsidRPr="00860801">
        <w:rPr>
          <w:rFonts w:ascii="Cambria" w:hAnsi="Cambria" w:cs="Tahoma"/>
          <w:sz w:val="22"/>
          <w:szCs w:val="22"/>
        </w:rPr>
        <w:fldChar w:fldCharType="end"/>
      </w:r>
      <w:r w:rsidR="00F96F8A" w:rsidRPr="00860801">
        <w:rPr>
          <w:rFonts w:ascii="Cambria" w:hAnsi="Cambria" w:cs="Tahoma"/>
          <w:sz w:val="22"/>
          <w:szCs w:val="22"/>
        </w:rPr>
        <w:t xml:space="preserve">, </w:t>
      </w:r>
      <w:r w:rsidR="00F96F8A" w:rsidRPr="00860801">
        <w:rPr>
          <w:rFonts w:ascii="Cambria" w:hAnsi="Cambria" w:cs="Tahoma"/>
          <w:sz w:val="22"/>
          <w:szCs w:val="22"/>
        </w:rPr>
        <w:fldChar w:fldCharType="begin" w:fldLock="1"/>
      </w:r>
      <w:r w:rsidR="00DC4C5E" w:rsidRPr="00860801">
        <w:rPr>
          <w:rFonts w:ascii="Cambria" w:hAnsi="Cambria" w:cs="Tahoma"/>
          <w:sz w:val="22"/>
          <w:szCs w:val="22"/>
        </w:rPr>
        <w:instrText>ADDIN CSL_CITATION {"citationItems":[{"id":"ITEM-1","itemData":{"ISSN":"23376333","abstract":"Based on Islamic Banking Law Article 1 paragraph 2 funding was the main activity for Islamic banking in its function as a financial intermediary and drived real sector. This study was aim to determine how much the influences of SBIS, amount of DPK, Non Performing Financing and the exchange rate of dollar against the Islamic banking financing as well as the contribution of Islamic bank financing for the agricultural sector in Indonesia by using VAR/VECM approach. VECM results indicated variables that affected agricultural financing in the short term was variable LNER and SBIS. While in the long term variable lnDPK and lnNPF statistically significant against to agricultural financing. The results of IRF showed that lnDPK, lnNPF and LNER responded positively influencing the contribution of financing on Islamic bank for the agricultural sector in Indonesia. As for The contribution of financing on Islamic bank for the agricultural sector in Indonesia, LNER gave the largest contribution to the Islamic bank financing for the agricultural sector in Indonesia, followed by the variable SBIS, lnDPK, and lnNPF. The higher value of rupiah would increase the financing by the islamic banking for Agricultural sector, as would as the lower of rate SBIS would increase the financing of islamic banking.","author":[{"dropping-particle":"","family":"Mughits","given":"Minhatul","non-dropping-particle":"","parse-names":false,"suffix":""},{"dropping-particle":"","family":"Wulandari","given":"Ries","non-dropping-particle":"","parse-names":false,"suffix":""}],"container-title":"Al-Muzara'ah","id":"ITEM-1","issue":"1","issued":{"date-parts":[["2016"]]},"page":"61-75","title":"Contribution of Islamic Bank Financing to the Agricultural Sector in Indonesia","type":"article-journal","volume":"4"},"uris":["http://www.mendeley.com/documents/?uuid=dcb08d26-ff3c-4fc1-acaf-e50676cca3a4"]}],"mendeley":{"formattedCitation":"(Mughits &amp; Wulandari, 2016)","plainTextFormattedCitation":"(Mughits &amp; Wulandari, 2016)","previouslyFormattedCitation":"(Mughits &amp; Wulandari, 2016)"},"properties":{"noteIndex":0},"schema":"https://github.com/citation-style-language/schema/raw/master/csl-citation.json"}</w:instrText>
      </w:r>
      <w:r w:rsidR="00F96F8A" w:rsidRPr="00860801">
        <w:rPr>
          <w:rFonts w:ascii="Cambria" w:hAnsi="Cambria" w:cs="Tahoma"/>
          <w:sz w:val="22"/>
          <w:szCs w:val="22"/>
        </w:rPr>
        <w:fldChar w:fldCharType="separate"/>
      </w:r>
      <w:r w:rsidR="00F96F8A" w:rsidRPr="00860801">
        <w:rPr>
          <w:rFonts w:ascii="Cambria" w:hAnsi="Cambria" w:cs="Tahoma"/>
          <w:noProof/>
          <w:sz w:val="22"/>
          <w:szCs w:val="22"/>
        </w:rPr>
        <w:t>(Mughits &amp; Wulandari, 2016)</w:t>
      </w:r>
      <w:r w:rsidR="00F96F8A" w:rsidRPr="00860801">
        <w:rPr>
          <w:rFonts w:ascii="Cambria" w:hAnsi="Cambria" w:cs="Tahoma"/>
          <w:sz w:val="22"/>
          <w:szCs w:val="22"/>
        </w:rPr>
        <w:fldChar w:fldCharType="end"/>
      </w:r>
      <w:r w:rsidR="00DF5D47" w:rsidRPr="00860801">
        <w:rPr>
          <w:rFonts w:ascii="Cambria" w:hAnsi="Cambria" w:cs="Tahoma"/>
          <w:sz w:val="22"/>
          <w:szCs w:val="22"/>
        </w:rPr>
        <w:t xml:space="preserve">, </w:t>
      </w:r>
      <w:r w:rsidR="00DC4C5E" w:rsidRPr="00860801">
        <w:rPr>
          <w:rFonts w:ascii="Cambria" w:hAnsi="Cambria" w:cs="Tahoma"/>
          <w:sz w:val="22"/>
          <w:szCs w:val="22"/>
        </w:rPr>
        <w:fldChar w:fldCharType="begin" w:fldLock="1"/>
      </w:r>
      <w:r w:rsidR="00654B98" w:rsidRPr="00860801">
        <w:rPr>
          <w:rFonts w:ascii="Cambria" w:hAnsi="Cambria" w:cs="Tahoma"/>
          <w:sz w:val="22"/>
          <w:szCs w:val="22"/>
        </w:rPr>
        <w:instrText>ADDIN CSL_CITATION {"citationItems":[{"id":"ITEM-1","itemData":{"DOI":"10.53952/jir.v9i2.337","ISSN":"2442-3416","abstract":"This study aims to analyze the effect of Financing to Deposit Ratio (FDR), Non Performing Financing (NPF), Third Party Funds (TPF), Asset Growth on Financing Provided (PYD). The update in this study is the Asset Growth variable which is thought to have a close relationship with PYD. This study is a quantitative research with SPSS statistical test.The sample of this study are the Islamic banks in Indonesia, which were taken based on the number of provinces in Indonesia which is 33 (thirty three) provinces throughout 2018-2020. The source of data used in this study is from the secondary data taken from the website www.ojk.go.id. The data analysis used in this study is from conducting the classical assumptions test then followed by multiple regression which are the determination test and T test. While the results of the t test showed that TPF had a positive and significant effect on PYD, while FDR had no effect on PYD. The same as Asset Growth no effect on PYD. Also NPF had a negative and significant effect on PYD. The coefficient of determination test results show the Adjusted R Square value of 0.173, this indicates that only 17.3% of the PYD financing variables are influenced by NPF, PYD, and FDR while the remaining 82.7% is influenced by other factors Keywords: NPF; TPF; FDR; PYD; Asset Growth; ABSTRAK Tujuan penelitian untuk menguji pengaruh Financing to Deposit Ratio (FDR), Dana Pihak Ketiga (DPK), Non Performing Financing (NPF), Pertumbuhan Aset terhadap Pembiayaan Yang Diberikan (PYD). Perbaharuan dalam penelitian ini yaitu variabel Pertumbuhan Aset yang diduga memiliki kaitan yang erat terhadap PYD. Jenis penelitian kuantitatif dengan uji statistik SPSS. Sampel penelitian yaitu bank syariah yang ada di Indonesia diambil berdasarkan jumlah provinsi sebanyak 33 (tiga puluh tiga) provinsi periode 2018 - 2020. Data yang digunakan bersumber dari data sekunder yang diperoleh dari situs www.ojk.go.id. Analisis data yang digunakan yaitu dengan melakukan uji asumsi klasik kemudian dilanjutkan dengan regresi berganda yaitu uji determinasi dan Uji t. Sedangkan hasil uji t menunjukkan DPK berpengaruh positif dan signifikan terhadap PYD, FDR tidak berpengaruh terhadap PYD, Pertumbuhan asset tidak berpengaruh terhadap PYD dan NPF berpengaruh negatif dan signifikan terhadap PYD. Hasil uji koefisien determinasi menunjukkan nilai Adjusted R Square 0,173, hal ini menunjukkan bahwa hanya 17,3% variabel pembiayaan PYD dipengaruhi oleh NPF, DPK, dan FDR sedangkan sisan…","author":[{"dropping-particle":"","family":"Khotmi","given":"Herawati","non-dropping-particle":"","parse-names":false,"suffix":""},{"dropping-particle":"","family":"Wahyullah","given":"Muhammad","non-dropping-particle":"","parse-names":false,"suffix":""},{"dropping-particle":"","family":"Fachrozi","given":"","non-dropping-particle":"","parse-names":false,"suffix":""}],"container-title":"Journal Ilmiah Rinjani : Media Informasi Ilmiah Universitas Gunung Rinjani","id":"ITEM-1","issue":"2","issued":{"date-parts":[["2021"]]},"page":"1-10","title":"Determinants of Funding Provided (Study on Islamic Commercial Banks in Indonesia for the 2018-2020 Period)","type":"article-journal","volume":"9"},"uris":["http://www.mendeley.com/documents/?uuid=d13cdb70-da3a-4a8a-8bc8-a1eb12e87528"]}],"mendeley":{"formattedCitation":"(Khotmi et al., 2021)","plainTextFormattedCitation":"(Khotmi et al., 2021)","previouslyFormattedCitation":"(Khotmi et al., 2021)"},"properties":{"noteIndex":0},"schema":"https://github.com/citation-style-language/schema/raw/master/csl-citation.json"}</w:instrText>
      </w:r>
      <w:r w:rsidR="00DC4C5E" w:rsidRPr="00860801">
        <w:rPr>
          <w:rFonts w:ascii="Cambria" w:hAnsi="Cambria" w:cs="Tahoma"/>
          <w:sz w:val="22"/>
          <w:szCs w:val="22"/>
        </w:rPr>
        <w:fldChar w:fldCharType="separate"/>
      </w:r>
      <w:r w:rsidR="00DC4C5E" w:rsidRPr="00860801">
        <w:rPr>
          <w:rFonts w:ascii="Cambria" w:hAnsi="Cambria" w:cs="Tahoma"/>
          <w:noProof/>
          <w:sz w:val="22"/>
          <w:szCs w:val="22"/>
        </w:rPr>
        <w:t>(Khotmi et al., 2021)</w:t>
      </w:r>
      <w:r w:rsidR="00DC4C5E" w:rsidRPr="00860801">
        <w:rPr>
          <w:rFonts w:ascii="Cambria" w:hAnsi="Cambria" w:cs="Tahoma"/>
          <w:sz w:val="22"/>
          <w:szCs w:val="22"/>
        </w:rPr>
        <w:fldChar w:fldCharType="end"/>
      </w:r>
      <w:r w:rsidR="00DF5D47" w:rsidRPr="00860801">
        <w:rPr>
          <w:rFonts w:ascii="Cambria" w:hAnsi="Cambria" w:cs="Tahoma"/>
          <w:sz w:val="22"/>
          <w:szCs w:val="22"/>
        </w:rPr>
        <w:t xml:space="preserve">, </w:t>
      </w:r>
      <w:r w:rsidR="00DF5D47" w:rsidRPr="00860801">
        <w:rPr>
          <w:rFonts w:ascii="Cambria" w:hAnsi="Cambria" w:cs="Tahoma"/>
          <w:sz w:val="22"/>
          <w:szCs w:val="22"/>
        </w:rPr>
        <w:fldChar w:fldCharType="begin" w:fldLock="1"/>
      </w:r>
      <w:r w:rsidR="006E099F" w:rsidRPr="00860801">
        <w:rPr>
          <w:rFonts w:ascii="Cambria" w:hAnsi="Cambria" w:cs="Tahoma"/>
          <w:sz w:val="22"/>
          <w:szCs w:val="22"/>
        </w:rPr>
        <w:instrText>ADDIN CSL_CITATION {"citationItems":[{"id":"ITEM-1","itemData":{"DOI":"10.29040/ijebar.v4i02.988","ISSN":"2622-4771","abstract":"Banks are financial institutions that collect and distribute funds in the forms of deposits such as savings, deposits, current accounts, etc. from and for people who need funds for various needs, such as for consumption, working capital or business capital, housing and investment. In addition, banks must help the community to improve their living standards by distributing funds or giving credit to people who need funds. This is in accordance with the function of the bank itself, namely the bank as the distributor of funds. The purpose of this research is to examine and obtain evidence about factors that influence loan distribution at a bank. Internal factors that influence loan distribution are Third Party Funds, Non-Performing Loans, and Profitability. Efforts to increase credit at banks require optimal efforts to raise third-party funds, good credit management, and capital strengthening. This type of research is quantitative research with purposive sampling technique. The population used in this study is commercial banks from 2013 to 2017. The data come from commercial bank financial statements. As the benefit of this research the government can use it as a mapping material for distributing loan to commercial banks; the bank management can take it into consideration in making commercial bank lending policies. The results of the research show that profitability can mediate the relationship between third party funds and non-performing loans on loan distribution. Third party funds have a significant positive effect on loan distribution. Non-Performing Loans have a significant negative effect on loan distribution. Keywords: LOAN DISTRIBUTION, THIRD PARTY FUNDS, NON-PERFORMING LOANS, AND PROFITABILITY","author":[{"dropping-particle":"","family":"Hermuningsih","given":"Sri","non-dropping-particle":"","parse-names":false,"suffix":""},{"dropping-particle":"","family":"Sari","given":"Pristin Prima","non-dropping-particle":"","parse-names":false,"suffix":""},{"dropping-particle":"","family":"Rahmawati","given":"Anisya Dewi","non-dropping-particle":"","parse-names":false,"suffix":""}],"container-title":"International Journal of Economics, Business and Accounting Research (IJEBAR)","id":"ITEM-1","issue":"02","issued":{"date-parts":[["2020"]]},"page":"40-50","title":"The Influence of Third-Party Funds, Non-Performing Loans (NPL) on Credit Distribution With Profitability As Intervening Variable in Commercial Banks","type":"article-journal","volume":"4"},"uris":["http://www.mendeley.com/documents/?uuid=b186a711-99e5-4b92-850c-3c53830007b7"]}],"mendeley":{"formattedCitation":"(Hermuningsih et al., 2020)","plainTextFormattedCitation":"(Hermuningsih et al., 2020)","previouslyFormattedCitation":"(Hermuningsih et al., 2020)"},"properties":{"noteIndex":0},"schema":"https://github.com/citation-style-language/schema/raw/master/csl-citation.json"}</w:instrText>
      </w:r>
      <w:r w:rsidR="00DF5D47" w:rsidRPr="00860801">
        <w:rPr>
          <w:rFonts w:ascii="Cambria" w:hAnsi="Cambria" w:cs="Tahoma"/>
          <w:sz w:val="22"/>
          <w:szCs w:val="22"/>
        </w:rPr>
        <w:fldChar w:fldCharType="separate"/>
      </w:r>
      <w:r w:rsidR="00DF5D47" w:rsidRPr="00860801">
        <w:rPr>
          <w:rFonts w:ascii="Cambria" w:hAnsi="Cambria" w:cs="Tahoma"/>
          <w:noProof/>
          <w:sz w:val="22"/>
          <w:szCs w:val="22"/>
        </w:rPr>
        <w:t>(Hermuningsih et al., 2020)</w:t>
      </w:r>
      <w:r w:rsidR="00DF5D47" w:rsidRPr="00860801">
        <w:rPr>
          <w:rFonts w:ascii="Cambria" w:hAnsi="Cambria" w:cs="Tahoma"/>
          <w:sz w:val="22"/>
          <w:szCs w:val="22"/>
        </w:rPr>
        <w:fldChar w:fldCharType="end"/>
      </w:r>
      <w:r w:rsidR="00F96F8A" w:rsidRPr="00860801">
        <w:rPr>
          <w:rFonts w:ascii="Cambria" w:hAnsi="Cambria" w:cs="Tahoma"/>
          <w:sz w:val="22"/>
          <w:szCs w:val="22"/>
        </w:rPr>
        <w:t xml:space="preserve">. DPK is suspected of having a significant positive effect on Financing because seen from the existing data, Financing continues to increase. In addition, DPK is a fund that is collected from the public in the form of savings, time deposits, and other demand deposits, so it must be balanced with the distribution of Financing carried out by each bank, so along with increasing DPK, Financing will increase which will ultimately increase profits. </w:t>
      </w:r>
      <w:proofErr w:type="gramStart"/>
      <w:r w:rsidR="00F96F8A" w:rsidRPr="00860801">
        <w:rPr>
          <w:rFonts w:ascii="Cambria" w:hAnsi="Cambria" w:cs="Tahoma"/>
          <w:sz w:val="22"/>
          <w:szCs w:val="22"/>
        </w:rPr>
        <w:t>will</w:t>
      </w:r>
      <w:proofErr w:type="gramEnd"/>
      <w:r w:rsidR="00F96F8A" w:rsidRPr="00860801">
        <w:rPr>
          <w:rFonts w:ascii="Cambria" w:hAnsi="Cambria" w:cs="Tahoma"/>
          <w:sz w:val="22"/>
          <w:szCs w:val="22"/>
        </w:rPr>
        <w:t xml:space="preserve"> be accepted by the bank.</w:t>
      </w:r>
    </w:p>
    <w:p w:rsidR="006C5D27" w:rsidRPr="00860801" w:rsidRDefault="00F35E8B" w:rsidP="00F07630">
      <w:pPr>
        <w:spacing w:after="0" w:line="360" w:lineRule="auto"/>
        <w:ind w:firstLine="709"/>
        <w:jc w:val="both"/>
        <w:rPr>
          <w:rFonts w:ascii="Cambria" w:hAnsi="Cambria" w:cs="Tahoma"/>
          <w:bCs/>
        </w:rPr>
      </w:pPr>
      <w:r w:rsidRPr="00860801">
        <w:rPr>
          <w:rFonts w:ascii="Cambria" w:hAnsi="Cambria" w:cs="Tahoma"/>
          <w:bCs/>
        </w:rPr>
        <w:t xml:space="preserve">Furthermore, NOM or Net Operating Margin is commonly used to find out how a bank's management is capable of managing its productive assets to obtain profit-sharing income. </w:t>
      </w:r>
      <w:r w:rsidR="00456A96" w:rsidRPr="00860801">
        <w:rPr>
          <w:rFonts w:ascii="Cambria" w:hAnsi="Cambria" w:cs="Tahoma"/>
          <w:bCs/>
        </w:rPr>
        <w:fldChar w:fldCharType="begin" w:fldLock="1"/>
      </w:r>
      <w:r w:rsidR="00456A96" w:rsidRPr="00860801">
        <w:rPr>
          <w:rFonts w:ascii="Cambria" w:hAnsi="Cambria" w:cs="Tahoma"/>
          <w:bCs/>
        </w:rPr>
        <w:instrText>ADDIN CSL_CITATION {"citationItems":[{"id":"ITEM-1","itemData":{"author":[{"dropping-particle":"","family":"Antonio","given":"Muhammad Syafi'i","non-dropping-particle":"","parse-names":false,"suffix":""}],"id":"ITEM-1","issued":{"date-parts":[["2001"]]},"publisher":"Gema Insani","publisher-place":"Jakarta","title":"Bank Syariah dan Praktek","type":"book"},"uris":["http://www.mendeley.com/documents/?uuid=a1b8e7e4-14e7-4d50-8702-c7af5f8a6c01","http://www.mendeley.com/documents/?uuid=df9aaf83-0dd2-4088-88d7-79d9b7f6ee28","http://www.mendeley.com/documents/?uuid=1a960ff2-c0bd-4769-a075-b0d1046fb2d7"]}],"mendeley":{"formattedCitation":"(Antonio, 2001)","plainTextFormattedCitation":"(Antonio, 2001)","previouslyFormattedCitation":"(Antonio, 2001)"},"properties":{"noteIndex":0},"schema":"https://github.com/citation-style-language/schema/raw/master/csl-citation.json"}</w:instrText>
      </w:r>
      <w:r w:rsidR="00456A96" w:rsidRPr="00860801">
        <w:rPr>
          <w:rFonts w:ascii="Cambria" w:hAnsi="Cambria" w:cs="Tahoma"/>
          <w:bCs/>
        </w:rPr>
        <w:fldChar w:fldCharType="separate"/>
      </w:r>
      <w:r w:rsidR="00456A96" w:rsidRPr="00860801">
        <w:rPr>
          <w:rFonts w:ascii="Cambria" w:hAnsi="Cambria" w:cs="Tahoma"/>
          <w:bCs/>
          <w:noProof/>
        </w:rPr>
        <w:t xml:space="preserve">(Antonio, 2001) </w:t>
      </w:r>
      <w:r w:rsidR="00456A96" w:rsidRPr="00860801">
        <w:rPr>
          <w:rFonts w:ascii="Cambria" w:hAnsi="Cambria" w:cs="Tahoma"/>
          <w:bCs/>
        </w:rPr>
        <w:fldChar w:fldCharType="end"/>
      </w:r>
      <w:r w:rsidR="00456A96" w:rsidRPr="00860801">
        <w:rPr>
          <w:rFonts w:ascii="Cambria" w:hAnsi="Cambria" w:cs="Tahoma"/>
          <w:bCs/>
        </w:rPr>
        <w:t xml:space="preserve">This income is obtained from reducing Operating Income with profit-sharing funds after deducting operational costs. When NOM increases, it means that </w:t>
      </w:r>
      <w:r w:rsidR="00456A96" w:rsidRPr="00860801">
        <w:rPr>
          <w:rFonts w:ascii="Cambria" w:hAnsi="Cambria" w:cs="Tahoma"/>
          <w:bCs/>
        </w:rPr>
        <w:lastRenderedPageBreak/>
        <w:t xml:space="preserve">sharia banking financing will also increase. The research results reveal that Net Operating Margin has a positive effect on Financing </w:t>
      </w:r>
      <w:r w:rsidR="00456A96" w:rsidRPr="00860801">
        <w:rPr>
          <w:rFonts w:ascii="Cambria" w:hAnsi="Cambria" w:cs="Tahoma"/>
          <w:bCs/>
        </w:rPr>
        <w:fldChar w:fldCharType="begin" w:fldLock="1"/>
      </w:r>
      <w:r w:rsidR="00654B98" w:rsidRPr="00860801">
        <w:rPr>
          <w:rFonts w:ascii="Cambria" w:hAnsi="Cambria" w:cs="Tahoma"/>
          <w:bCs/>
        </w:rPr>
        <w:instrText>ADDIN CSL_CITATION {"citationItems":[{"id":"ITEM-1","itemData":{"DOI":"10.21043/malia.v3i1.5665","ISSN":"2654-8577","abstract":"This study aims to determine the Non Performing Financing (NPF), Net Operating Margin (NOM) and Financing to Deposit Ratio (FDR) on Murabahah Financing with Third Party Funds (TPF) as the Moderating Variable. The population in this study are Islamic Banks that publishes their financial statements to Otoritas Jasa Keuangan (OJK) and each website of Islamic Banks for the period 2013 to 2017, with a sampling technique that is purposive sampling, the samples taken were 8 Islamic Banks in Indonesia obtained were analyzed by moderating regression analysis technique. The results of this study indicate that: (1) Non Performing Financing (NPF) does not negatively affect murabahah financing at Islamic Banks; (2) Net Operating Margin (NOM) has a positive effect on murabahah financing at Islamic Banks; (3) Financing to Deposit Ratio (FDR) has a positive effect on murabahah financing at Islamic Banks; (4) Third Party Funds (DPK) do not moderate the negative influence of NPF on murabahah financing at Islamic Banks; (5) Third Party Funds (DPK) strengthen the positive influence of NOM on murabahah financing at Islamic Banks; (6) Third Party Funds (DPK) strengthen the positive influence of FDR on murabahah financing at Islamic Banks. The implication of this research is the result of this study can be used as an effort to increase murabahah financing. To increase the amount of murabahah financing, managerial in Islamic Banks in Indonesia need to prioritize policies related to Net Operating Margin (NOM), Financing to Deposit Ratio (FDR) and Third Party Funds (DPK).","author":[{"dropping-particle":"","family":"Farianti","given":"Rizki","non-dropping-particle":"","parse-names":false,"suffix":""},{"dropping-particle":"","family":"Pramuka","given":"Bambang Agus","non-dropping-particle":"","parse-names":false,"suffix":""},{"dropping-particle":"","family":"Purwati","given":"Atiek Sri","non-dropping-particle":"","parse-names":false,"suffix":""}],"container-title":"MALIA: Journal of Islamic Banking and Finance","id":"ITEM-1","issue":"1","issued":{"date-parts":[["2020"]]},"page":"17","title":"The Influence of NPF, NOM and FDR on Murabahah Financing with DPK as a Moderating Variable","type":"article-journal","volume":"3"},"uris":["http://www.mendeley.com/documents/?uuid=71608bcd-4d49-48d9-a2c7-805faaa34228"]}],"mendeley":{"formattedCitation":"(Farianti et al., 2020)","plainTextFormattedCitation":"(Farianti et al., 2020)","previouslyFormattedCitation":"(Farianti et al., 2020)"},"properties":{"noteIndex":0},"schema":"https://github.com/citation-style-language/schema/raw/master/csl-citation.json"}</w:instrText>
      </w:r>
      <w:r w:rsidR="00456A96" w:rsidRPr="00860801">
        <w:rPr>
          <w:rFonts w:ascii="Cambria" w:hAnsi="Cambria" w:cs="Tahoma"/>
          <w:bCs/>
        </w:rPr>
        <w:fldChar w:fldCharType="separate"/>
      </w:r>
      <w:r w:rsidR="00456A96" w:rsidRPr="00860801">
        <w:rPr>
          <w:rFonts w:ascii="Cambria" w:hAnsi="Cambria" w:cs="Tahoma"/>
          <w:bCs/>
          <w:noProof/>
        </w:rPr>
        <w:t xml:space="preserve">(Farianti et al., 2020) </w:t>
      </w:r>
      <w:r w:rsidR="00456A96" w:rsidRPr="00860801">
        <w:rPr>
          <w:rFonts w:ascii="Cambria" w:hAnsi="Cambria" w:cs="Tahoma"/>
          <w:bCs/>
        </w:rPr>
        <w:fldChar w:fldCharType="end"/>
      </w:r>
      <w:r w:rsidR="00456A96" w:rsidRPr="00860801">
        <w:rPr>
          <w:rFonts w:ascii="Cambria" w:hAnsi="Cambria" w:cs="Tahoma"/>
          <w:bCs/>
        </w:rPr>
        <w:t>.</w:t>
      </w:r>
    </w:p>
    <w:p w:rsidR="00566C5C" w:rsidRPr="00860801" w:rsidRDefault="00F35E8B" w:rsidP="00F07630">
      <w:pPr>
        <w:spacing w:after="0" w:line="360" w:lineRule="auto"/>
        <w:ind w:firstLine="709"/>
        <w:jc w:val="both"/>
        <w:rPr>
          <w:rFonts w:ascii="Cambria" w:hAnsi="Cambria" w:cs="Tahoma"/>
        </w:rPr>
      </w:pPr>
      <w:r w:rsidRPr="00860801">
        <w:rPr>
          <w:rFonts w:ascii="Cambria" w:hAnsi="Cambria" w:cs="Tahoma"/>
        </w:rPr>
        <w:t xml:space="preserve">The FDR ratio is used to measure a bank's liquidity, how capable an Islamic bank is to meet short-term obligations or distribute </w:t>
      </w:r>
      <w:proofErr w:type="gramStart"/>
      <w:r w:rsidRPr="00860801">
        <w:rPr>
          <w:rFonts w:ascii="Cambria" w:hAnsi="Cambria" w:cs="Tahoma"/>
        </w:rPr>
        <w:t>Financing</w:t>
      </w:r>
      <w:proofErr w:type="gramEnd"/>
      <w:r w:rsidRPr="00860801">
        <w:rPr>
          <w:rFonts w:ascii="Cambria" w:hAnsi="Cambria" w:cs="Tahoma"/>
        </w:rPr>
        <w:t xml:space="preserve"> quickly. The higher the ratio, the higher the level of liquidity. The amount of credit determined by the bank, judging from the funds that have been collected, has been channeled optimally or not. When the amount of third-party funds is high, the bank will immediately extend the credit. The higher the FDR ratio in Islamic banking, the ability of Islamic banking to channel Financing is also high and increasing, including Financing for MSMEs </w:t>
      </w:r>
      <w:r w:rsidRPr="00860801">
        <w:rPr>
          <w:rFonts w:ascii="Cambria" w:hAnsi="Cambria" w:cs="Tahoma"/>
        </w:rPr>
        <w:fldChar w:fldCharType="begin" w:fldLock="1"/>
      </w:r>
      <w:r w:rsidR="00654B98" w:rsidRPr="00860801">
        <w:rPr>
          <w:rFonts w:ascii="Cambria" w:hAnsi="Cambria" w:cs="Tahoma"/>
        </w:rPr>
        <w:instrText>ADDIN CSL_CITATION {"citationItems":[{"id":"ITEM-1","itemData":{"author":[{"dropping-particle":"","family":"Saputri","given":"Sagita dan Muhammad Ghafur Wibowo","non-dropping-particle":"","parse-names":false,"suffix":""}],"container-title":"Al-Amwal","id":"ITEM-1","issue":"1","issued":{"date-parts":[["2018"]]},"page":"1-47","title":"Determinants of MSME Financing in Indonesia 2011-2015: Generalized Method of Moment (GMM) Approach","type":"article-journal","volume":"10"},"uris":["http://www.mendeley.com/documents/?uuid=544a9e7b-c6cc-49f8-930a-927dd075c90e"]}],"mendeley":{"formattedCitation":"(Saputri, 2018)","plainTextFormattedCitation":"(Saputri, 2018)","previouslyFormattedCitation":"(Saputri, 2018)"},"properties":{"noteIndex":0},"schema":"https://github.com/citation-style-language/schema/raw/master/csl-citation.json"}</w:instrText>
      </w:r>
      <w:r w:rsidRPr="00860801">
        <w:rPr>
          <w:rFonts w:ascii="Cambria" w:hAnsi="Cambria" w:cs="Tahoma"/>
        </w:rPr>
        <w:fldChar w:fldCharType="separate"/>
      </w:r>
      <w:r w:rsidRPr="00860801">
        <w:rPr>
          <w:rFonts w:ascii="Cambria" w:hAnsi="Cambria" w:cs="Tahoma"/>
          <w:noProof/>
        </w:rPr>
        <w:t>(Saputri, 2018)</w:t>
      </w:r>
      <w:r w:rsidRPr="00860801">
        <w:rPr>
          <w:rFonts w:ascii="Cambria" w:hAnsi="Cambria" w:cs="Tahoma"/>
        </w:rPr>
        <w:fldChar w:fldCharType="end"/>
      </w:r>
      <w:r w:rsidRPr="00860801">
        <w:rPr>
          <w:rFonts w:ascii="Cambria" w:hAnsi="Cambria" w:cs="Tahoma"/>
        </w:rPr>
        <w:t xml:space="preserve">. FDR has a significant positive effect on Financing </w:t>
      </w:r>
      <w:r w:rsidRPr="00860801">
        <w:rPr>
          <w:rFonts w:ascii="Cambria" w:hAnsi="Cambria" w:cs="Tahoma"/>
        </w:rPr>
        <w:fldChar w:fldCharType="begin" w:fldLock="1"/>
      </w:r>
      <w:r w:rsidRPr="00860801">
        <w:rPr>
          <w:rFonts w:ascii="Cambria" w:hAnsi="Cambria" w:cs="Tahoma"/>
        </w:rPr>
        <w:instrText>ADDIN CSL_CITATION {"citationItems":[{"id":"ITEM-1","itemData":{"DOI":"10.21511/bbs.15(4).2020.09","ISSN":"19917074","abstract":"This study aims to assess the impact of bank-specific factors and macroeconomic indicators on the net interest margin (NIM) of commercial banks in Indonesia. Data from Indonesian commercial banks are used. Data are collected from the banks’ annual reports and the Financial Services Authority (OJK) for the period 2008 to 2018. A panel data regression model is used to estimate the effect of bank-specific and macroeconomic factors. The results prove that the variables of Non-Performing Loans (NPL), Loan to Deposit Ratio (LDR), Return on Assets (ROA), Interest Rate (SBI), and Exchange Rate (FOREX) affect NIM. The exchange rate variable has a predominant effect, while the NPL factor has a less strong influence on NIM. The empirical evidence from this research is important for commercial banks in Indonesia to improve operational efficiency through NIM performance. Internal and external factors of a bank should be subject of attention of bank managers.","author":[{"dropping-particle":"","family":"Astarini","given":"Raras Palupi","non-dropping-particle":"","parse-names":false,"suffix":""},{"dropping-particle":"","family":"Hartoyo","given":"Sri","non-dropping-particle":"","parse-names":false,"suffix":""},{"dropping-particle":"","family":"Maulana","given":"Tubagus Nur Ahmad","non-dropping-particle":"","parse-names":false,"suffix":""}],"container-title":"International Journal of Science and Research (IJSR)","id":"ITEM-1","issue":"9","issued":{"date-parts":[["2016"]]},"page":"99-107","title":"Impact of internal and external factors on the net interest margin of banks in Indonesia","type":"article-journal","volume":"5"},"uris":["http://www.mendeley.com/documents/?uuid=d3eea6bf-c1d3-43b0-8b86-bee09110dbca"]}],"mendeley":{"formattedCitation":"(Astarini et al., 2016)","plainTextFormattedCitation":"(Astarini et al., 2016)","previouslyFormattedCitation":"(Astarini et al., 2016)"},"properties":{"noteIndex":0},"schema":"https://github.com/citation-style-language/schema/raw/master/csl-citation.json"}</w:instrText>
      </w:r>
      <w:r w:rsidRPr="00860801">
        <w:rPr>
          <w:rFonts w:ascii="Cambria" w:hAnsi="Cambria" w:cs="Tahoma"/>
        </w:rPr>
        <w:fldChar w:fldCharType="separate"/>
      </w:r>
      <w:r w:rsidRPr="00860801">
        <w:rPr>
          <w:rFonts w:ascii="Cambria" w:hAnsi="Cambria" w:cs="Tahoma"/>
          <w:noProof/>
        </w:rPr>
        <w:t xml:space="preserve">(Astarini et al., 2016) </w:t>
      </w:r>
      <w:r w:rsidRPr="00860801">
        <w:rPr>
          <w:rFonts w:ascii="Cambria" w:hAnsi="Cambria" w:cs="Tahoma"/>
        </w:rPr>
        <w:fldChar w:fldCharType="end"/>
      </w:r>
      <w:r w:rsidRPr="00860801">
        <w:rPr>
          <w:rFonts w:ascii="Cambria" w:hAnsi="Cambria" w:cs="Tahoma"/>
        </w:rPr>
        <w:t>.</w:t>
      </w:r>
    </w:p>
    <w:p w:rsidR="00544FC9" w:rsidRPr="00860801" w:rsidRDefault="00F35E8B" w:rsidP="00F07630">
      <w:pPr>
        <w:spacing w:after="0" w:line="360" w:lineRule="auto"/>
        <w:ind w:firstLine="709"/>
        <w:jc w:val="both"/>
        <w:rPr>
          <w:rFonts w:ascii="Cambria" w:hAnsi="Cambria" w:cs="Tahoma"/>
          <w:bCs/>
        </w:rPr>
      </w:pPr>
      <w:proofErr w:type="gramStart"/>
      <w:r w:rsidRPr="00860801">
        <w:rPr>
          <w:rFonts w:ascii="Cambria" w:hAnsi="Cambria" w:cs="Tahoma"/>
        </w:rPr>
        <w:t>that</w:t>
      </w:r>
      <w:proofErr w:type="gramEnd"/>
      <w:r w:rsidRPr="00860801">
        <w:rPr>
          <w:rFonts w:ascii="Cambria" w:hAnsi="Cambria" w:cs="Tahoma"/>
        </w:rPr>
        <w:t xml:space="preserve"> the rate of return on investment invested in the </w:t>
      </w:r>
      <w:proofErr w:type="spellStart"/>
      <w:r w:rsidRPr="00860801">
        <w:rPr>
          <w:rFonts w:ascii="Cambria" w:hAnsi="Cambria" w:cs="Tahoma"/>
        </w:rPr>
        <w:t>mudharabah</w:t>
      </w:r>
      <w:proofErr w:type="spellEnd"/>
      <w:r w:rsidRPr="00860801">
        <w:rPr>
          <w:rFonts w:ascii="Cambria" w:hAnsi="Cambria" w:cs="Tahoma"/>
        </w:rPr>
        <w:t xml:space="preserve"> and </w:t>
      </w:r>
      <w:proofErr w:type="spellStart"/>
      <w:r w:rsidRPr="00860801">
        <w:rPr>
          <w:rFonts w:ascii="Cambria" w:hAnsi="Cambria" w:cs="Tahoma"/>
        </w:rPr>
        <w:t>musyarakah</w:t>
      </w:r>
      <w:proofErr w:type="spellEnd"/>
      <w:r w:rsidRPr="00860801">
        <w:rPr>
          <w:rFonts w:ascii="Cambria" w:hAnsi="Cambria" w:cs="Tahoma"/>
        </w:rPr>
        <w:t xml:space="preserve"> systems </w:t>
      </w:r>
      <w:r w:rsidR="006E099F" w:rsidRPr="00860801">
        <w:rPr>
          <w:rFonts w:ascii="Cambria" w:hAnsi="Cambria" w:cs="Tahoma"/>
        </w:rPr>
        <w:t xml:space="preserve">in banks will increase the Financing disbursed, the higher the rate of return from banks to investors, the more investors deposit funds with banks using the </w:t>
      </w:r>
      <w:proofErr w:type="spellStart"/>
      <w:r w:rsidR="006E099F" w:rsidRPr="00860801">
        <w:rPr>
          <w:rFonts w:ascii="Cambria" w:hAnsi="Cambria" w:cs="Tahoma"/>
        </w:rPr>
        <w:t>mudharabah</w:t>
      </w:r>
      <w:proofErr w:type="spellEnd"/>
      <w:r w:rsidR="006E099F" w:rsidRPr="00860801">
        <w:rPr>
          <w:rFonts w:ascii="Cambria" w:hAnsi="Cambria" w:cs="Tahoma"/>
        </w:rPr>
        <w:t xml:space="preserve"> and </w:t>
      </w:r>
      <w:proofErr w:type="spellStart"/>
      <w:r w:rsidR="006E099F" w:rsidRPr="00860801">
        <w:rPr>
          <w:rFonts w:ascii="Cambria" w:hAnsi="Cambria" w:cs="Tahoma"/>
        </w:rPr>
        <w:t>musyarakah</w:t>
      </w:r>
      <w:proofErr w:type="spellEnd"/>
      <w:r w:rsidR="006E099F" w:rsidRPr="00860801">
        <w:rPr>
          <w:rFonts w:ascii="Cambria" w:hAnsi="Cambria" w:cs="Tahoma"/>
        </w:rPr>
        <w:t xml:space="preserve"> systems. Therefore, the level of financing disbursement will also increase. This is supported by research conducted by </w:t>
      </w:r>
      <w:r w:rsidR="006E099F" w:rsidRPr="00860801">
        <w:rPr>
          <w:rFonts w:ascii="Cambria" w:hAnsi="Cambria" w:cs="Tahoma"/>
        </w:rPr>
        <w:fldChar w:fldCharType="begin" w:fldLock="1"/>
      </w:r>
      <w:r w:rsidR="0070149F" w:rsidRPr="00860801">
        <w:rPr>
          <w:rFonts w:ascii="Cambria" w:hAnsi="Cambria" w:cs="Tahoma"/>
        </w:rPr>
        <w:instrText>ADDIN CSL_CITATION {"citationItems":[{"id":"ITEM-1","itemData":{"ISBN":"9781450340366","abstract":"The objective of this study is to analyze factors that influencing volume of profit and loss sharing based- financing in sharia banking in Indonesia during 2006-2010. Analysis method used is Partial Least Square (PLS), the results show that depositors’ funds and also profit and loss sharing level have positive and significant influence toward volume of profit and loss sharing based-financing, while non performing financing doesn’t have significant influence","author":[{"dropping-particle":"","family":"Andraeny","given":"Dita","non-dropping-particle":"","parse-names":false,"suffix":""}],"container-title":"Simposium Nasional Akuntansi Xiv Aceh 2011","id":"ITEM-1","issued":{"date-parts":[["2011"]]},"page":"1-25","title":"Analysis of the Influence of Third Party Funds, Profit Sharing Levels and Non-Performing Financing on the Volume of Profit Sharing-based Financing in Islamic Banking in Indonesia","type":"article-journal"},"uris":["http://www.mendeley.com/documents/?uuid=7978a93d-4dfb-4171-85ce-cffdbd5a9df9"]}],"mendeley":{"formattedCitation":"(Andraeny, 2011)","plainTextFormattedCitation":"(Andraeny, 2011)","previouslyFormattedCitation":"(Andraeny, 2011)"},"properties":{"noteIndex":0},"schema":"https://github.com/citation-style-language/schema/raw/master/csl-citation.json"}</w:instrText>
      </w:r>
      <w:r w:rsidR="006E099F" w:rsidRPr="00860801">
        <w:rPr>
          <w:rFonts w:ascii="Cambria" w:hAnsi="Cambria" w:cs="Tahoma"/>
        </w:rPr>
        <w:fldChar w:fldCharType="separate"/>
      </w:r>
      <w:r w:rsidR="006E099F" w:rsidRPr="00860801">
        <w:rPr>
          <w:rFonts w:ascii="Cambria" w:hAnsi="Cambria" w:cs="Tahoma"/>
          <w:noProof/>
        </w:rPr>
        <w:t>(Andraeny, 2011)</w:t>
      </w:r>
      <w:r w:rsidR="006E099F" w:rsidRPr="00860801">
        <w:rPr>
          <w:rFonts w:ascii="Cambria" w:hAnsi="Cambria" w:cs="Tahoma"/>
        </w:rPr>
        <w:fldChar w:fldCharType="end"/>
      </w:r>
      <w:r w:rsidR="006E099F" w:rsidRPr="00860801">
        <w:rPr>
          <w:rFonts w:ascii="Cambria" w:hAnsi="Cambria" w:cs="Tahoma"/>
        </w:rPr>
        <w:t>. The level of profit sharing has a significant positive effect on the volume of profit sharing-based Financing.</w:t>
      </w:r>
    </w:p>
    <w:p w:rsidR="00BD2708" w:rsidRPr="00860801" w:rsidRDefault="00F35E8B" w:rsidP="00544FC9">
      <w:pPr>
        <w:spacing w:after="0" w:line="360" w:lineRule="auto"/>
        <w:ind w:firstLine="709"/>
        <w:jc w:val="both"/>
        <w:rPr>
          <w:rFonts w:ascii="Cambria" w:hAnsi="Cambria" w:cs="Tahoma"/>
        </w:rPr>
      </w:pPr>
      <w:r w:rsidRPr="00860801">
        <w:rPr>
          <w:rFonts w:ascii="Cambria" w:hAnsi="Cambria" w:cs="Tahoma"/>
        </w:rPr>
        <w:t xml:space="preserve">The pandemic period was a difficult time for business people, almost all sectors felt the impact. So that many business owners need capital to rise from their downturn. However, Financing disbursed by Islamic Banking is not just distributed, it is necessary to consider various factors for the success of Islamic Banking itself, as well as for its customers. One of the considerations of Islamic banks in channeling a financing is the ability to manage business risks. The Covid-19 case has had an adverse impact on almost all sectors, a very big fortune if businesses during the pandemic are still able to survive. The main problem for maintaining and developing a business is capital. While Financing </w:t>
      </w:r>
      <w:proofErr w:type="spellStart"/>
      <w:r w:rsidRPr="00860801">
        <w:rPr>
          <w:rFonts w:ascii="Cambria" w:hAnsi="Cambria" w:cs="Tahoma"/>
        </w:rPr>
        <w:t>can not</w:t>
      </w:r>
      <w:proofErr w:type="spellEnd"/>
      <w:r w:rsidRPr="00860801">
        <w:rPr>
          <w:rFonts w:ascii="Cambria" w:hAnsi="Cambria" w:cs="Tahoma"/>
        </w:rPr>
        <w:t xml:space="preserve"> just be channeled, but still pay attention to the productive assets owned.</w:t>
      </w:r>
    </w:p>
    <w:p w:rsidR="00864018" w:rsidRPr="00860801" w:rsidRDefault="00F35E8B" w:rsidP="00691B6B">
      <w:pPr>
        <w:spacing w:after="0" w:line="360" w:lineRule="auto"/>
        <w:ind w:firstLine="709"/>
        <w:jc w:val="both"/>
        <w:rPr>
          <w:rFonts w:ascii="Cambria" w:hAnsi="Cambria" w:cs="Tahoma"/>
        </w:rPr>
      </w:pPr>
      <w:r w:rsidRPr="00860801">
        <w:rPr>
          <w:rFonts w:ascii="Cambria" w:hAnsi="Cambria" w:cs="Tahoma"/>
        </w:rPr>
        <w:t xml:space="preserve">Macroeconomic factors are an illustration of the increase or decrease in the volume of Financing, where Inflation is a determinant of the value of money collected by banks and is a measure of the desired profitability of banks in providing loans or Financing services. Therefore, Inflation will affect transactions in financial institutions, especially banks </w:t>
      </w:r>
      <w:r w:rsidR="00F1382F" w:rsidRPr="00860801">
        <w:rPr>
          <w:rFonts w:ascii="Cambria" w:hAnsi="Cambria" w:cs="Tahoma"/>
        </w:rPr>
        <w:fldChar w:fldCharType="begin" w:fldLock="1"/>
      </w:r>
      <w:r w:rsidR="00654B98" w:rsidRPr="00860801">
        <w:rPr>
          <w:rFonts w:ascii="Cambria" w:hAnsi="Cambria" w:cs="Tahoma"/>
        </w:rPr>
        <w:instrText>ADDIN CSL_CITATION {"citationItems":[{"id":"ITEM-1","itemData":{"DOI":"10.47700/jiefes.v1i2.2095","ISSN":"2723-6730","abstract":"This research is a quantitative study to determine the effect of inflation, BI interest rates, capital influences and problematic financing on financing at Islamic banks. The dependent variable in this study is financing. While the independent variables in this study are inflation, BI interest rates, capital, and problem financing. The population of this study is Sharia Commercial Banks registered with the Financial Services Authority, which amounts to 14 Banks. The sample selection uses non probability sampling. The data used are secondary data with panel data analysis method using e-views 10. The sample used was 14 Sharia Bank for the period of 2016-2018. The results of panel data regression with a significance level of 0.05 indicate that inflation, BI interest rates, and problematic financing have no effect on financing, and capital influences has effect on financing.","author":[{"dropping-particle":"","family":"Nadya","given":"Annisa","non-dropping-particle":"","parse-names":false,"suffix":""},{"dropping-particle":"","family":"Tanjung","given":"Marlina","non-dropping-particle":"","parse-names":false,"suffix":""},{"dropping-particle":"","family":"Sugianto","given":"Sugianto","non-dropping-particle":"","parse-names":false,"suffix":""}],"container-title":"Journal of Islamic Economics and Finance Studies","id":"ITEM-1","issue":"2","issued":{"date-parts":[["2020"]]},"page":"153","title":"Analysis of External and Internal Factors on Financing in Islamic Commercial Banks Registered at OJK","type":"article-journal","volume":"1"},"uris":["http://www.mendeley.com/documents/?uuid=e49039b7-f8b9-4e5a-9f4b-e7b029c4edec"]}],"mendeley":{"formattedCitation":"(Nadya et al., 2020)","plainTextFormattedCitation":"(Nadya et al., 2020)","previouslyFormattedCitation":"(Nadya et al., 2020)"},"properties":{"noteIndex":0},"schema":"https://github.com/citation-style-language/schema/raw/master/csl-citation.json"}</w:instrText>
      </w:r>
      <w:r w:rsidR="00F1382F" w:rsidRPr="00860801">
        <w:rPr>
          <w:rFonts w:ascii="Cambria" w:hAnsi="Cambria" w:cs="Tahoma"/>
        </w:rPr>
        <w:fldChar w:fldCharType="separate"/>
      </w:r>
      <w:r w:rsidR="00F1382F" w:rsidRPr="00860801">
        <w:rPr>
          <w:rFonts w:ascii="Cambria" w:hAnsi="Cambria" w:cs="Tahoma"/>
          <w:noProof/>
        </w:rPr>
        <w:t>(Nadya et al., 2020)</w:t>
      </w:r>
      <w:r w:rsidR="00F1382F" w:rsidRPr="00860801">
        <w:rPr>
          <w:rFonts w:ascii="Cambria" w:hAnsi="Cambria" w:cs="Tahoma"/>
        </w:rPr>
        <w:fldChar w:fldCharType="end"/>
      </w:r>
      <w:r w:rsidR="00F1382F" w:rsidRPr="00860801">
        <w:rPr>
          <w:rFonts w:ascii="Cambria" w:hAnsi="Cambria" w:cs="Tahoma"/>
        </w:rPr>
        <w:t xml:space="preserve">. Besides Inflation, macroeconomic factors that can </w:t>
      </w:r>
      <w:r w:rsidR="000E7C31" w:rsidRPr="00860801">
        <w:rPr>
          <w:rFonts w:ascii="Cambria" w:hAnsi="Cambria" w:cs="Tahoma"/>
        </w:rPr>
        <w:t>affect financing growth are interest rates. The interest rate is the number of funds that must be paid to investors who have deposited their funds at the bank and the number of funds that must be returned to customers who have received loans. Increasing interest rates will increase the profit generated by the banking itself. However</w:t>
      </w:r>
      <w:r w:rsidR="00691B6B" w:rsidRPr="00860801">
        <w:rPr>
          <w:rFonts w:ascii="Cambria" w:hAnsi="Cambria" w:cs="Tahoma"/>
        </w:rPr>
        <w:t xml:space="preserve">, customer interest in making loans will tend to </w:t>
      </w:r>
      <w:r w:rsidR="00691B6B" w:rsidRPr="00860801">
        <w:rPr>
          <w:rFonts w:ascii="Cambria" w:hAnsi="Cambria" w:cs="Tahoma"/>
        </w:rPr>
        <w:lastRenderedPageBreak/>
        <w:t xml:space="preserve">decrease. At high-interest rates, business actors will find it difficult to obtain capital </w:t>
      </w:r>
      <w:r w:rsidR="00E96520" w:rsidRPr="00860801">
        <w:rPr>
          <w:rFonts w:ascii="Cambria" w:hAnsi="Cambria" w:cs="Tahoma"/>
        </w:rPr>
        <w:fldChar w:fldCharType="begin" w:fldLock="1"/>
      </w:r>
      <w:r w:rsidR="0007122E" w:rsidRPr="00860801">
        <w:rPr>
          <w:rFonts w:ascii="Cambria" w:hAnsi="Cambria" w:cs="Tahoma"/>
        </w:rPr>
        <w:instrText>ADDIN CSL_CITATION {"citationItems":[{"id":"ITEM-1","itemData":{"author":[{"dropping-particle":"","family":"Syarif","given":"Ahmad","non-dropping-particle":"","parse-names":false,"suffix":""}],"container-title":"HUMAN FALAH","id":"ITEM-1","issued":{"date-parts":[["2016"]]},"title":"The Growth of Islamic Banking and SMEs Financing in Indonesia","type":"article-journal","volume":": Volume 3"},"uris":["http://www.mendeley.com/documents/?uuid=7548fdb5-41ef-4933-a091-c96d1cc15d25"]}],"mendeley":{"formattedCitation":"(Syarif, 2016)","plainTextFormattedCitation":"(Syarif, 2016)","previouslyFormattedCitation":"(Syarif, 2016)"},"properties":{"noteIndex":0},"schema":"https://github.com/citation-style-language/schema/raw/master/csl-citation.json"}</w:instrText>
      </w:r>
      <w:r w:rsidR="00E96520" w:rsidRPr="00860801">
        <w:rPr>
          <w:rFonts w:ascii="Cambria" w:hAnsi="Cambria" w:cs="Tahoma"/>
        </w:rPr>
        <w:fldChar w:fldCharType="separate"/>
      </w:r>
      <w:r w:rsidR="00E96520" w:rsidRPr="00860801">
        <w:rPr>
          <w:rFonts w:ascii="Cambria" w:hAnsi="Cambria" w:cs="Tahoma"/>
          <w:noProof/>
        </w:rPr>
        <w:t>(Sharif, 2016)</w:t>
      </w:r>
      <w:r w:rsidR="00E96520" w:rsidRPr="00860801">
        <w:rPr>
          <w:rFonts w:ascii="Cambria" w:hAnsi="Cambria" w:cs="Tahoma"/>
        </w:rPr>
        <w:fldChar w:fldCharType="end"/>
      </w:r>
      <w:r w:rsidR="00C24863" w:rsidRPr="00860801">
        <w:rPr>
          <w:rFonts w:ascii="Cambria" w:hAnsi="Cambria" w:cs="Tahoma"/>
        </w:rPr>
        <w:t>.</w:t>
      </w:r>
    </w:p>
    <w:p w:rsidR="00105284" w:rsidRPr="00860801" w:rsidRDefault="00F35E8B" w:rsidP="00F07630">
      <w:pPr>
        <w:spacing w:after="0" w:line="360" w:lineRule="auto"/>
        <w:ind w:firstLine="709"/>
        <w:jc w:val="both"/>
        <w:rPr>
          <w:rFonts w:ascii="Cambria" w:hAnsi="Cambria" w:cs="Tahoma"/>
        </w:rPr>
      </w:pPr>
      <w:r w:rsidRPr="00860801">
        <w:rPr>
          <w:rFonts w:ascii="Cambria" w:hAnsi="Cambria" w:cs="Tahoma"/>
        </w:rPr>
        <w:t>Based on the explanation above, shows that the performance of Islamic banking has an influence on the Financing channeled by Islamic banking. Assessment of the performance of Islamic banking can also be seen from the ability of bank liquidity or the level of bank profitability which is reflected in Islamic banking financial ratios. This study will analyze the factors that influence the amount of Islamic banking financing in Indonesia in the long term and also in the short term. The sharia banking studied was the Sharia Commercial Bank (BUS) and the Sharia Business Unit (UUS), and the Sharia People's Financing Bank (BPRS). The factors that will be examined come from the internal side of Islamic banking and macroeconomics.</w:t>
      </w:r>
    </w:p>
    <w:p w:rsidR="00355F96" w:rsidRPr="00860801" w:rsidRDefault="00F35E8B" w:rsidP="00355F96">
      <w:pPr>
        <w:spacing w:after="0" w:line="360" w:lineRule="auto"/>
        <w:jc w:val="both"/>
        <w:rPr>
          <w:rFonts w:ascii="Cambria" w:hAnsi="Cambria" w:cs="Tahoma"/>
          <w:b/>
        </w:rPr>
      </w:pPr>
      <w:r w:rsidRPr="00860801">
        <w:rPr>
          <w:rFonts w:ascii="Cambria" w:hAnsi="Cambria" w:cs="Tahoma"/>
          <w:b/>
        </w:rPr>
        <w:t>Literature Review</w:t>
      </w:r>
    </w:p>
    <w:p w:rsidR="00355F96" w:rsidRPr="00860801" w:rsidRDefault="00F35E8B" w:rsidP="00355F96">
      <w:pPr>
        <w:spacing w:after="0" w:line="360" w:lineRule="auto"/>
        <w:jc w:val="both"/>
        <w:rPr>
          <w:rFonts w:ascii="Cambria" w:hAnsi="Cambria" w:cs="Tahoma"/>
        </w:rPr>
      </w:pPr>
      <w:r w:rsidRPr="00860801">
        <w:rPr>
          <w:rFonts w:ascii="Cambria" w:hAnsi="Cambria" w:cs="Tahoma"/>
          <w:b/>
        </w:rPr>
        <w:tab/>
      </w:r>
      <w:r w:rsidR="00E17AF0" w:rsidRPr="00860801">
        <w:rPr>
          <w:rFonts w:ascii="Cambria" w:hAnsi="Cambria" w:cs="Tahoma"/>
        </w:rPr>
        <w:t xml:space="preserve">The greater the banking assets, the more funds will be channeled to customers. In a study conducted by </w:t>
      </w:r>
      <w:r w:rsidR="0099524C" w:rsidRPr="00860801">
        <w:rPr>
          <w:rFonts w:ascii="Cambria" w:hAnsi="Cambria" w:cs="Tahoma"/>
        </w:rPr>
        <w:fldChar w:fldCharType="begin" w:fldLock="1"/>
      </w:r>
      <w:r w:rsidR="00685FDB" w:rsidRPr="00860801">
        <w:rPr>
          <w:rFonts w:ascii="Cambria" w:hAnsi="Cambria" w:cs="Tahoma"/>
        </w:rPr>
        <w:instrText>ADDIN CSL_CITATION {"citationItems":[{"id":"ITEM-1","itemData":{"DOI":"10.21098/bemp.v15i2.63","ISBN":"1990199219941","ISSN":"1410-8046","abstract":"This study intends to determine whether a shock that occurred in developed countries, the source of funding, was transmitted to Indonesia through international bank lending both directly and indirectly. The methods used estimated the determinants of international bank lending. International bank lending is one form of capital flows that have the potential for rapid reversal and that can lead to a financial crisis as it has in the past. Understanding the determinants of bank lending is important as it can be used to mitigate the impact of a financial crisis in the future. The empirical results showed that international bank lending, either directly or indirectly, contributed to the Indonesian crisis. During the shock, Indonesia saw global banking contract financing. It was also found that credit activities by foreign affiliates in Indonesia saw a contraction in the country of the parent bank during the shock. However, it was found that the bank lending by foreign affiliates, as joint ventureswere more stable compared to the branch offices of a foreign bank. In aggregate, international bank lending is affected by push and pulls factors such as economic growth (in developed countries and Indonesia), risk factors, and liquidity conditions, both in Indonesia and globally. As for micro-banking models, other than the push and pull factors, the bank balance sheet and other portfolio assets also affected bank lending activities to Indonesia.Keywords: Global Financial Shocks, Foreign Affiliates, International Bank Lending, transmission path,dynamic panel.JEL Classification: C33, E51, G15","author":[{"dropping-particle":"","family":"Silalahi","given":"Tumpak","non-dropping-particle":"","parse-names":false,"suffix":""},{"dropping-particle":"","family":"Wibowo","given":"Wahyu Ari","non-dropping-particle":"","parse-names":false,"suffix":""},{"dropping-particle":"","family":"Nurliana","given":"Linda","non-dropping-particle":"","parse-names":false,"suffix":""}],"container-title":"Buletin Ekonomi Moneter dan Perbankan","id":"ITEM-1","issue":"2","issued":{"date-parts":[["2012"]]},"number-of-pages":"77-114","title":"Impact of Global Financial Shock To International Bank Lending in Indonesia","type":"book","volume":"15"},"uris":["http://www.mendeley.com/documents/?uuid=dfde7529-9e9f-4d85-9e6a-c2ccf2ff5062"]}],"mendeley":{"formattedCitation":"(Silalahi et al., 2012)","manualFormatting":"Silalahi et al., (2012)","plainTextFormattedCitation":"(Silalahi et al., 2012)","previouslyFormattedCitation":"(Silalahi et al., 2012)"},"properties":{"noteIndex":0},"schema":"https://github.com/citation-style-language/schema/raw/master/csl-citation.json"}</w:instrText>
      </w:r>
      <w:r w:rsidR="0099524C" w:rsidRPr="00860801">
        <w:rPr>
          <w:rFonts w:ascii="Cambria" w:hAnsi="Cambria" w:cs="Tahoma"/>
        </w:rPr>
        <w:fldChar w:fldCharType="separate"/>
      </w:r>
      <w:r w:rsidR="0099524C" w:rsidRPr="00860801">
        <w:rPr>
          <w:rFonts w:ascii="Cambria" w:hAnsi="Cambria" w:cs="Tahoma"/>
          <w:noProof/>
        </w:rPr>
        <w:t>Silalahi et al. (2012)</w:t>
      </w:r>
      <w:r w:rsidR="0099524C" w:rsidRPr="00860801">
        <w:rPr>
          <w:rFonts w:ascii="Cambria" w:hAnsi="Cambria" w:cs="Tahoma"/>
        </w:rPr>
        <w:fldChar w:fldCharType="end"/>
      </w:r>
      <w:r w:rsidR="0099524C" w:rsidRPr="00860801">
        <w:rPr>
          <w:rFonts w:ascii="Cambria" w:hAnsi="Cambria" w:cs="Tahoma"/>
        </w:rPr>
        <w:t xml:space="preserve">, conducting a study with bank assets as a control variable in lending to foreign banks in Indonesia, it was found that bank assets had a significant positive effect. The greater the assets of foreign bank affiliates it tends to increase in lending. </w:t>
      </w:r>
      <w:r w:rsidR="00685FDB" w:rsidRPr="00860801">
        <w:rPr>
          <w:rFonts w:ascii="Cambria" w:hAnsi="Cambria" w:cs="Tahoma"/>
        </w:rPr>
        <w:fldChar w:fldCharType="begin" w:fldLock="1"/>
      </w:r>
      <w:r w:rsidR="006216F5" w:rsidRPr="00860801">
        <w:rPr>
          <w:rFonts w:ascii="Cambria" w:hAnsi="Cambria" w:cs="Tahoma"/>
        </w:rPr>
        <w:instrText>ADDIN CSL_CITATION {"citationItems":[{"id":"ITEM-1","itemData":{"DOI":"10.2139/ssrn.2159088","author":[{"dropping-particle":"","family":"Pontines","given":"Victor","non-dropping-particle":"","parse-names":false,"suffix":""},{"dropping-particle":"","family":"Siregar","given":"Reza","non-dropping-particle":"","parse-names":false,"suffix":""}],"container-title":"SSRN Electronic Journal","id":"ITEM-1","issued":{"date-parts":[["2012"]]},"title":"How Should We Bank with Foreigners? - An Empirical Assessment of Lending Behavior of International Banks to Six East Asian Economies","type":"article-journal"},"uris":["http://www.mendeley.com/documents/?uuid=8ac5b25f-7be2-4259-b10c-a3feb5161b23"]}],"mendeley":{"formattedCitation":"(Pontines &amp; Siregar, 2012)","plainTextFormattedCitation":"(Pontines &amp; Siregar, 2012)","previouslyFormattedCitation":"(Pontines &amp; Siregar, 2012)"},"properties":{"noteIndex":0},"schema":"https://github.com/citation-style-language/schema/raw/master/csl-citation.json"}</w:instrText>
      </w:r>
      <w:r w:rsidR="00685FDB" w:rsidRPr="00860801">
        <w:rPr>
          <w:rFonts w:ascii="Cambria" w:hAnsi="Cambria" w:cs="Tahoma"/>
        </w:rPr>
        <w:fldChar w:fldCharType="separate"/>
      </w:r>
      <w:r w:rsidR="00685FDB" w:rsidRPr="00860801">
        <w:rPr>
          <w:rFonts w:ascii="Cambria" w:hAnsi="Cambria" w:cs="Tahoma"/>
          <w:noProof/>
        </w:rPr>
        <w:t xml:space="preserve">(Pontines &amp; Siregar, 2012) </w:t>
      </w:r>
      <w:r w:rsidR="00685FDB" w:rsidRPr="00860801">
        <w:rPr>
          <w:rFonts w:ascii="Cambria" w:hAnsi="Cambria" w:cs="Tahoma"/>
        </w:rPr>
        <w:fldChar w:fldCharType="end"/>
      </w:r>
      <w:r w:rsidR="00685FDB" w:rsidRPr="00860801">
        <w:rPr>
          <w:rFonts w:ascii="Cambria" w:hAnsi="Cambria" w:cs="Tahoma"/>
        </w:rPr>
        <w:t xml:space="preserve">In selecting portfolio optimization for placement of bank assets, asset ownership in the form of securities on the money market or stock market shows significant negative results. According to him, </w:t>
      </w:r>
      <w:r w:rsidR="005A3F1B" w:rsidRPr="00860801">
        <w:rPr>
          <w:rFonts w:ascii="Cambria" w:hAnsi="Cambria" w:cs="Tahoma"/>
        </w:rPr>
        <w:t xml:space="preserve">this is because </w:t>
      </w:r>
      <w:r w:rsidR="00C817D5" w:rsidRPr="00860801">
        <w:rPr>
          <w:rFonts w:ascii="Cambria" w:hAnsi="Cambria" w:cs="Tahoma"/>
        </w:rPr>
        <w:t>credit and placement in securities are substitutes.</w:t>
      </w:r>
    </w:p>
    <w:p w:rsidR="00CA799B" w:rsidRPr="00860801" w:rsidRDefault="00F35E8B" w:rsidP="00355F96">
      <w:pPr>
        <w:spacing w:after="0" w:line="360" w:lineRule="auto"/>
        <w:jc w:val="both"/>
        <w:rPr>
          <w:rFonts w:ascii="Cambria" w:hAnsi="Cambria" w:cs="Tahoma"/>
        </w:rPr>
      </w:pPr>
      <w:r w:rsidRPr="00860801">
        <w:rPr>
          <w:rFonts w:ascii="Cambria" w:hAnsi="Cambria" w:cs="Tahoma"/>
        </w:rPr>
        <w:tab/>
        <w:t xml:space="preserve">The higher the growth in DPK collected by </w:t>
      </w:r>
      <w:r w:rsidR="006216F5" w:rsidRPr="00860801">
        <w:rPr>
          <w:rFonts w:ascii="Cambria" w:hAnsi="Cambria" w:cs="Tahoma"/>
        </w:rPr>
        <w:t xml:space="preserve">Islamic banks, it will encourage the increase in the amount of Financing disbursed, and if there is a decrease in funds collected by banks, there will be a decrease in the volume of Financing. Providing credit is a top priority in allocating bank funds, and this is because the source of funds comes from the community, so banks must channel the funds collected back to the community in the form of loans </w:t>
      </w:r>
      <w:r w:rsidR="006216F5" w:rsidRPr="00860801">
        <w:rPr>
          <w:rFonts w:ascii="Cambria" w:hAnsi="Cambria" w:cs="Tahoma"/>
        </w:rPr>
        <w:fldChar w:fldCharType="begin" w:fldLock="1"/>
      </w:r>
      <w:r w:rsidRPr="00860801">
        <w:rPr>
          <w:rFonts w:ascii="Cambria" w:hAnsi="Cambria" w:cs="Tahoma"/>
        </w:rPr>
        <w:instrText>ADDIN CSL_CITATION {"citationItems":[{"id":"ITEM-1","itemData":{"abstract":"Abstract-This study aims to examine and analyze the effect of Interest Rate, Economic Growth, Funding Growth, Capital Adequacy Ratio (CAR) and Non-Performing Loan (NPL) of Lending Growth Banks. Research data is annual data for 5 (five) years observation (December 2011 until December 2015). The sampling method used was purposive sampling. From a population of 40 Private Commercial Banks and Foreign National listed in Indonesia Stock Exchange (IDX), 30 Banks met the criteria to be the sample. The result showed that Economic Growth, Funding Growth and NPL are having positiveand significant influence to Lending Growth Banks. BI Rate and CAR are having positive influence but not significant to Lending Growth Banks. Economic Growth is the most significant variable in influencing Lending Growth Banks","author":[{"dropping-particle":"","family":"Yasnur","given":"Maulana","non-dropping-particle":"","parse-names":false,"suffix":""},{"dropping-particle":"","family":"Kurniasih","given":"Augustina","non-dropping-particle":"","parse-names":false,"suffix":""}],"container-title":"International Journal of Scientific and Research Publications","id":"ITEM-1","issue":"11","issued":{"date-parts":[["2017"]]},"page":"69-76","title":"Factors Affecting Bank Lending Growth : Cases In Indonesia","type":"article-journal","volume":"7"},"uris":["http://www.mendeley.com/documents/?uuid=7221cc1a-e2fe-4506-8b8b-0fedb3eddf1b"]}],"mendeley":{"formattedCitation":"(Yasnur &amp; Kurniasih, 2017)","plainTextFormattedCitation":"(Yasnur &amp; Kurniasih, 2017)","previouslyFormattedCitation":"(Yasnur &amp; Kurniasih, 2017)"},"properties":{"noteIndex":0},"schema":"https://github.com/citation-style-language/schema/raw/master/csl-citation.json"}</w:instrText>
      </w:r>
      <w:r w:rsidR="006216F5" w:rsidRPr="00860801">
        <w:rPr>
          <w:rFonts w:ascii="Cambria" w:hAnsi="Cambria" w:cs="Tahoma"/>
        </w:rPr>
        <w:fldChar w:fldCharType="separate"/>
      </w:r>
      <w:r w:rsidR="006216F5" w:rsidRPr="00860801">
        <w:rPr>
          <w:rFonts w:ascii="Cambria" w:hAnsi="Cambria" w:cs="Tahoma"/>
          <w:noProof/>
        </w:rPr>
        <w:t>(Yasnur &amp; Kurniasih, 2017)</w:t>
      </w:r>
      <w:r w:rsidR="006216F5" w:rsidRPr="00860801">
        <w:rPr>
          <w:rFonts w:ascii="Cambria" w:hAnsi="Cambria" w:cs="Tahoma"/>
        </w:rPr>
        <w:fldChar w:fldCharType="end"/>
      </w:r>
      <w:r w:rsidRPr="00860801">
        <w:rPr>
          <w:rFonts w:ascii="Cambria" w:hAnsi="Cambria" w:cs="Tahoma"/>
        </w:rPr>
        <w:t xml:space="preserve">. Distribution of Financing from Islamic banking is the main activity of the bank as a business entity to return to profit sharing. Therefore, DPK has a significant positive effect on Financing or lending in line with research conducted by </w:t>
      </w:r>
      <w:r w:rsidRPr="00860801">
        <w:rPr>
          <w:rFonts w:ascii="Cambria" w:hAnsi="Cambria" w:cs="Tahoma"/>
        </w:rPr>
        <w:fldChar w:fldCharType="begin" w:fldLock="1"/>
      </w:r>
      <w:r w:rsidRPr="00860801">
        <w:rPr>
          <w:rFonts w:ascii="Cambria" w:hAnsi="Cambria" w:cs="Tahoma"/>
        </w:rPr>
        <w:instrText>ADDIN CSL_CITATION {"citationItems":[{"id":"ITEM-1","itemData":{"author":[{"dropping-particle":"","family":"Siringoringo","given":"Magdalena Judika","non-dropping-particle":"","parse-names":false,"suffix":""},{"dropping-particle":"","family":"Sijabat","given":"Jadongan","non-dropping-particle":"","parse-names":false,"suffix":""}],"id":"ITEM-1","issue":"1","issued":{"date-parts":[["2023"]]},"page":"1-16","title":"Car , LDR and Third Party Funds on the Amount of Credit Disbursed by Rural Banks in North Sumatera , Indonesia","type":"article-journal","volume":"4"},"uris":["http://www.mendeley.com/documents/?uuid=d1e53f7f-7499-4ea7-aad1-beafd39c81f6"]}],"mendeley":{"formattedCitation":"(Siringoringo &amp; Sijabat, 2023)","plainTextFormattedCitation":"(Siringoringo &amp; Sijabat, 2023)","previouslyFormattedCitation":"(Siringoringo &amp; Sijabat, 2023)"},"properties":{"noteIndex":0},"schema":"https://github.com/citation-style-language/schema/raw/master/csl-citation.json"}</w:instrText>
      </w:r>
      <w:r w:rsidRPr="00860801">
        <w:rPr>
          <w:rFonts w:ascii="Cambria" w:hAnsi="Cambria" w:cs="Tahoma"/>
        </w:rPr>
        <w:fldChar w:fldCharType="separate"/>
      </w:r>
      <w:r w:rsidRPr="00860801">
        <w:rPr>
          <w:rFonts w:ascii="Cambria" w:hAnsi="Cambria" w:cs="Tahoma"/>
          <w:noProof/>
        </w:rPr>
        <w:t xml:space="preserve">(Siringoringo &amp; Sijuang, 2023) </w:t>
      </w:r>
      <w:r w:rsidRPr="00860801">
        <w:rPr>
          <w:rFonts w:ascii="Cambria" w:hAnsi="Cambria" w:cs="Tahoma"/>
        </w:rPr>
        <w:fldChar w:fldCharType="end"/>
      </w:r>
      <w:r w:rsidRPr="00860801">
        <w:rPr>
          <w:rFonts w:ascii="Cambria" w:hAnsi="Cambria" w:cs="Tahoma"/>
        </w:rPr>
        <w:fldChar w:fldCharType="begin" w:fldLock="1"/>
      </w:r>
      <w:r w:rsidRPr="00860801">
        <w:rPr>
          <w:rFonts w:ascii="Cambria" w:hAnsi="Cambria" w:cs="Tahoma"/>
        </w:rPr>
        <w:instrText>ADDIN CSL_CITATION {"citationItems":[{"id":"ITEM-1","itemData":{"abstract":"This study aims to examine the effect of third-party funds and BI Rate to Bank BNI lending in the period of 2010 until the third quarter of 2016 with multiple linear regression analysis methods. The results of this research to produce numbers R square of 98.5% means that independent variables can explain 98.5% of the dependent variable and the rest is explained by other variables not examined by the independent variables used simultaneously significant effect on lending. While partially, third party funds and a significant positive effect on credit distribution mean when the deposits rise, the loan portfolio also increased and vice versa. While the BI Rate has no effect on credit in a positive direction. The suggestions that could be recommended include increasing third party funds by improving the performance of employees or gift for the customer in order to get more fund: Optimization lending to the public in accordance with the function of the bank; and using regression analysis with a distributed lag models for further research so that better results.","author":[{"dropping-particle":"","family":"Giri","given":"Ni Putu","non-dropping-particle":"","parse-names":false,"suffix":""},{"dropping-particle":"","family":"Rediatni","given":"Purnami","non-dropping-particle":"","parse-names":false,"suffix":""},{"dropping-particle":"","family":"Sri","given":"A A Gede","non-dropping-particle":"","parse-names":false,"suffix":""},{"dropping-particle":"","family":"Luh Sri","given":"Pande Jayanti","non-dropping-particle":"","parse-names":false,"suffix":""},{"dropping-particle":"","family":"Made","given":"I Made","non-dropping-particle":"","parse-names":false,"suffix":""},{"dropping-particle":"","family":"Amerta","given":"Suniastha","non-dropping-particle":"","parse-names":false,"suffix":""}],"container-title":"International Journal of Social Sciences and Humanities","id":"ITEM-1","issue":"3","issued":{"date-parts":[["2019"]]},"page":"147-156","title":"International Journal of Social Sciences and Humanities Effect of Third Party Funds and BI Rate on Credit Distribution of BNI","type":"article-journal","volume":"3"},"uris":["http://www.mendeley.com/documents/?uuid=0e3084bf-24b3-4d3d-9d57-b3a9c3dadc62"]}],"mendeley":{"formattedCitation":"(Giri et al., 2019)","plainTextFormattedCitation":"(Giri et al., 2019)","previouslyFormattedCitation":"(Giri et al., 2019)"},"properties":{"noteIndex":0},"schema":"https://github.com/citation-style-language/schema/raw/master/csl-citation.json"}</w:instrText>
      </w:r>
      <w:r w:rsidRPr="00860801">
        <w:rPr>
          <w:rFonts w:ascii="Cambria" w:hAnsi="Cambria" w:cs="Tahoma"/>
        </w:rPr>
        <w:fldChar w:fldCharType="separate"/>
      </w:r>
      <w:r w:rsidRPr="00860801">
        <w:rPr>
          <w:rFonts w:ascii="Cambria" w:hAnsi="Cambria" w:cs="Tahoma"/>
          <w:noProof/>
        </w:rPr>
        <w:t>(Giri et al., 2019)</w:t>
      </w:r>
      <w:r w:rsidRPr="00860801">
        <w:rPr>
          <w:rFonts w:ascii="Cambria" w:hAnsi="Cambria" w:cs="Tahoma"/>
        </w:rPr>
        <w:fldChar w:fldCharType="end"/>
      </w:r>
      <w:r w:rsidRPr="00860801">
        <w:rPr>
          <w:rFonts w:ascii="Cambria" w:hAnsi="Cambria" w:cs="Tahoma"/>
        </w:rPr>
        <w:fldChar w:fldCharType="begin" w:fldLock="1"/>
      </w:r>
      <w:r w:rsidR="00180E6D" w:rsidRPr="00860801">
        <w:rPr>
          <w:rFonts w:ascii="Cambria" w:hAnsi="Cambria" w:cs="Tahoma"/>
        </w:rPr>
        <w:instrText>ADDIN CSL_CITATION {"citationItems":[{"id":"ITEM-1","itemData":{"DOI":"10.46336/ijbesd.v1i4.96","ISSN":"2722-1164","abstract":"Mudharabah financing is the core of sharia banks and based on the profit sharing. In sharia principles, it is considered as a characteristic of sharia banks. This study aims to find out the influence of third party funds and non-performing financing on mudharabah financing in Indonesia's Sharia Banking. This research employed quantitative research methods using associative approach with the type of secondary data. The data analysis used Partial Least Square (PLS) with the Structural Equation Modeling (SEM) approach, while the application used was WarpPLS. The results revealed that TPF has a significant effect on Mudharabah Financing, while NPF has not. This is indicated by a coefficient value of 0.63 and ap-value of 0.000 for the effect of TPF on Mudharabah Financing. Meanwhile, the influence of NPF on Mudharabah Financing has a coefficient of 0.13 and a p-value of 0.16.","author":[{"dropping-particle":"","family":"Nur’aeni","given":"Nur’aeni","non-dropping-particle":"","parse-names":false,"suffix":""},{"dropping-particle":"","family":"Setiawan","given":"Setiawan","non-dropping-particle":"","parse-names":false,"suffix":""}],"container-title":"International Journal of Business, Economics, and Social Development","id":"ITEM-1","issue":"4","issued":{"date-parts":[["2020"]]},"page":"178-184","title":"Third Party Funds and Non-Performing Financing for Mudharabah Financing in Indonesia's Sharia Banking","type":"article-journal","volume":"1"},"uris":["http://www.mendeley.com/documents/?uuid=113946b4-799a-4b4a-a59d-d69d3b347a12"]}],"mendeley":{"formattedCitation":"(Nur’aeni &amp; Setiawan, 2020)","plainTextFormattedCitation":"(Nur’aeni &amp; Setiawan, 2020)","previouslyFormattedCitation":"(Nur’aeni &amp; Setiawan, 2020)"},"properties":{"noteIndex":0},"schema":"https://github.com/citation-style-language/schema/raw/master/csl-citation.json"}</w:instrText>
      </w:r>
      <w:r w:rsidRPr="00860801">
        <w:rPr>
          <w:rFonts w:ascii="Cambria" w:hAnsi="Cambria" w:cs="Tahoma"/>
        </w:rPr>
        <w:fldChar w:fldCharType="separate"/>
      </w:r>
      <w:r w:rsidRPr="00860801">
        <w:rPr>
          <w:rFonts w:ascii="Cambria" w:hAnsi="Cambria" w:cs="Tahoma"/>
          <w:noProof/>
        </w:rPr>
        <w:t>, (and Nur'aeni &amp; Setiawan, 2020)</w:t>
      </w:r>
      <w:r w:rsidRPr="00860801">
        <w:rPr>
          <w:rFonts w:ascii="Cambria" w:hAnsi="Cambria" w:cs="Tahoma"/>
        </w:rPr>
        <w:fldChar w:fldCharType="end"/>
      </w:r>
      <w:r w:rsidRPr="00860801">
        <w:rPr>
          <w:rFonts w:ascii="Cambria" w:hAnsi="Cambria" w:cs="Tahoma"/>
        </w:rPr>
        <w:t>.</w:t>
      </w:r>
    </w:p>
    <w:p w:rsidR="00685FDB" w:rsidRPr="00860801" w:rsidRDefault="00F35E8B" w:rsidP="00355F96">
      <w:pPr>
        <w:spacing w:after="0" w:line="360" w:lineRule="auto"/>
        <w:jc w:val="both"/>
        <w:rPr>
          <w:rFonts w:ascii="Cambria" w:hAnsi="Cambria" w:cs="Tahoma"/>
        </w:rPr>
      </w:pPr>
      <w:r w:rsidRPr="00860801">
        <w:rPr>
          <w:rFonts w:ascii="Cambria" w:hAnsi="Cambria" w:cs="Tahoma"/>
        </w:rPr>
        <w:tab/>
      </w:r>
      <w:r w:rsidR="00180E6D" w:rsidRPr="00860801">
        <w:rPr>
          <w:rFonts w:ascii="Cambria" w:hAnsi="Cambria" w:cs="Tahoma"/>
        </w:rPr>
        <w:fldChar w:fldCharType="begin" w:fldLock="1"/>
      </w:r>
      <w:r w:rsidR="00956775" w:rsidRPr="00860801">
        <w:rPr>
          <w:rFonts w:ascii="Cambria" w:hAnsi="Cambria" w:cs="Tahoma"/>
        </w:rPr>
        <w:instrText>ADDIN CSL_CITATION {"citationItems":[{"id":"ITEM-1","itemData":{"abstract":"Murabaha financing is a type of financing that dominates the financing contract on Islamic banking in Indonesia. This shows that financing on the basis of sale (murabaha) has a greater contribution than the financing of the basis for the profit and loss sharing (mudraba and musaraka). The purpose of this study is to determine the factors that affect the financing of murabaha in the Islamic Commercial Banking in Indonesia by using variables Third Party Fund (DPK), Capital Adequacy Ratio (CAR), Financing to Deposit Ratio (FDR), Non-Performing Financing (NPF) and Return on Assets (ROA). The population in this study is the performance of Islamic Commercial Banks in Indonesia in the period of January 2014 to June 2016. The data used in this research is secondary data and sample selection by using purposive sampling method. The analytical tool used in this research is multiple linear regression analysis at significantly the rate of 5%. The results of this study indicate that the variable DPK, CAR, FDR, NPF, and ROA simultaneously have an influence on Murabaha. Coefficient determination test results show that the five independent variables affect the dependent variable amounted to 87.6% and the remaining 12.4% is influenced by other variables. Partially DPK, CAR, FDR, and ROA have a positive and significant effect on the financing Murabaha. While the NPF has no influence on Murabaha financing","author":[{"dropping-particle":"","family":"Husaeni","given":"Uus Ahmad","non-dropping-particle":"","parse-names":false,"suffix":""}],"container-title":"International Journal of Nusantara Islam","id":"ITEM-1","issue":"02","issued":{"date-parts":[["2016"]]},"page":"1-16","title":"The Variables Effects of Murabahah in Islamic Commercial Banks","type":"article-journal","volume":"04"},"uris":["http://www.mendeley.com/documents/?uuid=fd5164b7-8cae-41cc-b091-ce0d0262d052"]}],"mendeley":{"formattedCitation":"(Husaeni, 2016)","manualFormatting":"Husaeni (2016)","plainTextFormattedCitation":"(Husaeni, 2016)","previouslyFormattedCitation":"(Husaeni, 2016)"},"properties":{"noteIndex":0},"schema":"https://github.com/citation-style-language/schema/raw/master/csl-citation.json"}</w:instrText>
      </w:r>
      <w:r w:rsidR="00180E6D" w:rsidRPr="00860801">
        <w:rPr>
          <w:rFonts w:ascii="Cambria" w:hAnsi="Cambria" w:cs="Tahoma"/>
        </w:rPr>
        <w:fldChar w:fldCharType="separate"/>
      </w:r>
      <w:r w:rsidR="00180E6D" w:rsidRPr="00860801">
        <w:rPr>
          <w:rFonts w:ascii="Cambria" w:hAnsi="Cambria" w:cs="Tahoma"/>
          <w:noProof/>
        </w:rPr>
        <w:t xml:space="preserve">Husaeni (2016) </w:t>
      </w:r>
      <w:r w:rsidR="00180E6D" w:rsidRPr="00860801">
        <w:rPr>
          <w:rFonts w:ascii="Cambria" w:hAnsi="Cambria" w:cs="Tahoma"/>
        </w:rPr>
        <w:fldChar w:fldCharType="end"/>
      </w:r>
      <w:r w:rsidR="00180E6D" w:rsidRPr="00860801">
        <w:rPr>
          <w:rFonts w:ascii="Cambria" w:hAnsi="Cambria" w:cs="Tahoma"/>
        </w:rPr>
        <w:t xml:space="preserve">conducted research related to </w:t>
      </w:r>
      <w:proofErr w:type="spellStart"/>
      <w:r w:rsidR="00180E6D" w:rsidRPr="00860801">
        <w:rPr>
          <w:rFonts w:ascii="Cambria" w:hAnsi="Cambria" w:cs="Tahoma"/>
        </w:rPr>
        <w:t>Murabaha</w:t>
      </w:r>
      <w:proofErr w:type="spellEnd"/>
      <w:r w:rsidR="00180E6D" w:rsidRPr="00860801">
        <w:rPr>
          <w:rFonts w:ascii="Cambria" w:hAnsi="Cambria" w:cs="Tahoma"/>
        </w:rPr>
        <w:t xml:space="preserve"> financing at Islamic Commercial Banks, where FDR has a significant positive effect on </w:t>
      </w:r>
      <w:proofErr w:type="spellStart"/>
      <w:r w:rsidR="00180E6D" w:rsidRPr="00860801">
        <w:rPr>
          <w:rFonts w:ascii="Cambria" w:hAnsi="Cambria" w:cs="Tahoma"/>
        </w:rPr>
        <w:t>murabahah</w:t>
      </w:r>
      <w:proofErr w:type="spellEnd"/>
      <w:r w:rsidR="00180E6D" w:rsidRPr="00860801">
        <w:rPr>
          <w:rFonts w:ascii="Cambria" w:hAnsi="Cambria" w:cs="Tahoma"/>
        </w:rPr>
        <w:t xml:space="preserve"> financing. It is feared that the high FDR will pose a risk to Islamic banking liquidity, which will reduce the financing portfolio. Therefore, the high FDR needs to be balanced with the high amount of funds collected from the public. So that the FDR increases, the Financing will increase. </w:t>
      </w:r>
      <w:r w:rsidR="00180E6D" w:rsidRPr="00860801">
        <w:rPr>
          <w:rFonts w:ascii="Cambria" w:hAnsi="Cambria" w:cs="Tahoma"/>
        </w:rPr>
        <w:lastRenderedPageBreak/>
        <w:t xml:space="preserve">FDR has a significant positive effect on MSME financing or non-MSME Financing </w:t>
      </w:r>
      <w:r w:rsidR="00956775" w:rsidRPr="00860801">
        <w:rPr>
          <w:rFonts w:ascii="Cambria" w:hAnsi="Cambria" w:cs="Tahoma"/>
        </w:rPr>
        <w:fldChar w:fldCharType="begin" w:fldLock="1"/>
      </w:r>
      <w:r w:rsidR="0094281D" w:rsidRPr="00860801">
        <w:rPr>
          <w:rFonts w:ascii="Cambria" w:hAnsi="Cambria" w:cs="Tahoma"/>
        </w:rPr>
        <w:instrText>ADDIN CSL_CITATION {"citationItems":[{"id":"ITEM-1","itemData":{"DOI":"10.21511/bbs.15(4).2020.09","ISSN":"19917074","abstract":"This study aims to assess the impact of bank-specific factors and macroeconomic indicators on the net interest margin (NIM) of commercial banks in Indonesia. Data from Indonesian commercial banks are used. Data are collected from the banks’ annual reports and the Financial Services Authority (OJK) for the period 2008 to 2018. A panel data regression model is used to estimate the effect of bank-specific and macroeconomic factors. The results prove that the variables of Non-Performing Loans (NPL), Loan to Deposit Ratio (LDR), Return on Assets (ROA), Interest Rate (SBI), and Exchange Rate (FOREX) affect NIM. The exchange rate variable has a predominant effect, while the NPL factor has a less strong influence on NIM. The empirical evidence from this research is important for commercial banks in Indonesia to improve operational efficiency through NIM performance. Internal and external factors of a bank should be subject of attention of bank managers.","author":[{"dropping-particle":"","family":"Astarini","given":"Raras Palupi","non-dropping-particle":"","parse-names":false,"suffix":""},{"dropping-particle":"","family":"Hartoyo","given":"Sri","non-dropping-particle":"","parse-names":false,"suffix":""},{"dropping-particle":"","family":"Maulana","given":"Tubagus Nur Ahmad","non-dropping-particle":"","parse-names":false,"suffix":""}],"container-title":"International Journal of Science and Research (IJSR)","id":"ITEM-1","issue":"9","issued":{"date-parts":[["2016"]]},"page":"99-107","title":"Impact of internal and external factors on the net interest margin of banks in Indonesia","type":"article-journal","volume":"5"},"uris":["http://www.mendeley.com/documents/?uuid=d3eea6bf-c1d3-43b0-8b86-bee09110dbca"]}],"mendeley":{"formattedCitation":"(Astarini et al., 2016)","plainTextFormattedCitation":"(Astarini et al., 2016)","previouslyFormattedCitation":"(Astarini et al., 2016)"},"properties":{"noteIndex":0},"schema":"https://github.com/citation-style-language/schema/raw/master/csl-citation.json"}</w:instrText>
      </w:r>
      <w:r w:rsidR="00956775" w:rsidRPr="00860801">
        <w:rPr>
          <w:rFonts w:ascii="Cambria" w:hAnsi="Cambria" w:cs="Tahoma"/>
        </w:rPr>
        <w:fldChar w:fldCharType="separate"/>
      </w:r>
      <w:r w:rsidR="00956775" w:rsidRPr="00860801">
        <w:rPr>
          <w:rFonts w:ascii="Cambria" w:hAnsi="Cambria" w:cs="Tahoma"/>
          <w:noProof/>
        </w:rPr>
        <w:t>(Astarini et al., 2016)</w:t>
      </w:r>
      <w:r w:rsidR="00956775" w:rsidRPr="00860801">
        <w:rPr>
          <w:rFonts w:ascii="Cambria" w:hAnsi="Cambria" w:cs="Tahoma"/>
        </w:rPr>
        <w:fldChar w:fldCharType="end"/>
      </w:r>
      <w:r w:rsidR="00956775" w:rsidRPr="00860801">
        <w:rPr>
          <w:rFonts w:ascii="Cambria" w:hAnsi="Cambria" w:cs="Tahoma"/>
        </w:rPr>
        <w:t>.</w:t>
      </w:r>
    </w:p>
    <w:p w:rsidR="00956775" w:rsidRPr="00860801" w:rsidRDefault="00F35E8B" w:rsidP="00355F96">
      <w:pPr>
        <w:spacing w:after="0" w:line="360" w:lineRule="auto"/>
        <w:jc w:val="both"/>
        <w:rPr>
          <w:rFonts w:ascii="Cambria" w:hAnsi="Cambria" w:cs="Tahoma"/>
        </w:rPr>
      </w:pPr>
      <w:r w:rsidRPr="00860801">
        <w:rPr>
          <w:rFonts w:ascii="Cambria" w:hAnsi="Cambria" w:cs="Tahoma"/>
        </w:rPr>
        <w:tab/>
        <w:t xml:space="preserve">A higher Net Interest Margin is a driving force for foreign banks to provide credit </w:t>
      </w:r>
      <w:r w:rsidR="0094281D" w:rsidRPr="00860801">
        <w:rPr>
          <w:rFonts w:ascii="Cambria" w:hAnsi="Cambria" w:cs="Tahoma"/>
        </w:rPr>
        <w:fldChar w:fldCharType="begin" w:fldLock="1"/>
      </w:r>
      <w:r w:rsidR="00B75800" w:rsidRPr="00860801">
        <w:rPr>
          <w:rFonts w:ascii="Cambria" w:hAnsi="Cambria" w:cs="Tahoma"/>
        </w:rPr>
        <w:instrText>ADDIN CSL_CITATION {"citationItems":[{"id":"ITEM-1","itemData":{"DOI":"10.21098/bemp.v15i2.63","ISBN":"1990199219941","ISSN":"1410-8046","abstract":"This study intends to determine whether a shock that occurred in developed countries, the source of funding, was transmitted to Indonesia through international bank lending both directly and indirectly. The methods used estimated the determinants of international bank lending. International bank lending is one form of capital flows that have the potential for rapid reversal and that can lead to a financial crisis as it has in the past. Understanding the determinants of bank lending is important as it can be used to mitigate the impact of a financial crisis in the future. The empirical results showed that international bank lending, either directly or indirectly, contributed to the Indonesian crisis. During the shock, Indonesia saw global banking contract financing. It was also found that credit activities by foreign affiliates in Indonesia saw a contraction in the country of the parent bank during the shock. However, it was found that the bank lending by foreign affiliates, as joint ventureswere more stable compared to the branch offices of a foreign bank. In aggregate, international bank lending is affected by push and pulls factors such as economic growth (in developed countries and Indonesia), risk factors, and liquidity conditions, both in Indonesia and globally. As for micro-banking models, other than the push and pull factors, the bank balance sheet and other portfolio assets also affected bank lending activities to Indonesia.Keywords: Global Financial Shocks, Foreign Affiliates, International Bank Lending, transmission path,dynamic panel.JEL Classification: C33, E51, G15","author":[{"dropping-particle":"","family":"Silalahi","given":"Tumpak","non-dropping-particle":"","parse-names":false,"suffix":""},{"dropping-particle":"","family":"Wibowo","given":"Wahyu Ari","non-dropping-particle":"","parse-names":false,"suffix":""},{"dropping-particle":"","family":"Nurliana","given":"Linda","non-dropping-particle":"","parse-names":false,"suffix":""}],"container-title":"Buletin Ekonomi Moneter dan Perbankan","id":"ITEM-1","issue":"2","issued":{"date-parts":[["2012"]]},"number-of-pages":"77-114","title":"Impact of Global Financial Shock To International Bank Lending in Indonesia","type":"book","volume":"15"},"uris":["http://www.mendeley.com/documents/?uuid=dfde7529-9e9f-4d85-9e6a-c2ccf2ff5062"]}],"mendeley":{"formattedCitation":"(Silalahi et al., 2012)","plainTextFormattedCitation":"(Silalahi et al., 2012)","previouslyFormattedCitation":"(Silalahi et al., 2012)"},"properties":{"noteIndex":0},"schema":"https://github.com/citation-style-language/schema/raw/master/csl-citation.json"}</w:instrText>
      </w:r>
      <w:r w:rsidR="0094281D" w:rsidRPr="00860801">
        <w:rPr>
          <w:rFonts w:ascii="Cambria" w:hAnsi="Cambria" w:cs="Tahoma"/>
        </w:rPr>
        <w:fldChar w:fldCharType="separate"/>
      </w:r>
      <w:r w:rsidR="0094281D" w:rsidRPr="00860801">
        <w:rPr>
          <w:rFonts w:ascii="Cambria" w:hAnsi="Cambria" w:cs="Tahoma"/>
          <w:noProof/>
        </w:rPr>
        <w:t>(Silalahi et al., 2012)</w:t>
      </w:r>
      <w:r w:rsidR="0094281D" w:rsidRPr="00860801">
        <w:rPr>
          <w:rFonts w:ascii="Cambria" w:hAnsi="Cambria" w:cs="Tahoma"/>
        </w:rPr>
        <w:fldChar w:fldCharType="end"/>
      </w:r>
      <w:r w:rsidRPr="00860801">
        <w:rPr>
          <w:rFonts w:ascii="Cambria" w:hAnsi="Cambria" w:cs="Tahoma"/>
        </w:rPr>
        <w:t xml:space="preserve">. </w:t>
      </w:r>
      <w:r w:rsidR="00147476" w:rsidRPr="00860801">
        <w:rPr>
          <w:rFonts w:ascii="Cambria" w:hAnsi="Cambria" w:cs="Tahoma"/>
          <w:bCs/>
        </w:rPr>
        <w:t>The ability of bank management to manage its productive assets to obtain revenue sharing. The higher the profit sharing obtained by Islamic banks in managing their productive assets, the more the financing distribution will be improved to obtain even higher profit sharing.</w:t>
      </w:r>
    </w:p>
    <w:p w:rsidR="00956775" w:rsidRPr="00860801" w:rsidRDefault="00F35E8B" w:rsidP="00147476">
      <w:pPr>
        <w:spacing w:after="0" w:line="360" w:lineRule="auto"/>
        <w:ind w:firstLine="720"/>
        <w:jc w:val="both"/>
        <w:rPr>
          <w:rFonts w:ascii="Cambria" w:hAnsi="Cambria" w:cs="Tahoma"/>
        </w:rPr>
      </w:pPr>
      <w:r w:rsidRPr="00860801">
        <w:rPr>
          <w:rFonts w:ascii="Cambria" w:hAnsi="Cambria" w:cs="Tahoma"/>
        </w:rPr>
        <w:t xml:space="preserve">NPF is the ratio of non-current payments in banking, so it will be related to a decrease in the provision of Financing because funds that should be returned to the banking system and also the profit that must be received by the banking sector are hampered. So that it will reduce ROA, and also the disbursement of Financing will decrease, based on research conducted by </w:t>
      </w:r>
      <w:r w:rsidR="00B75800" w:rsidRPr="00860801">
        <w:rPr>
          <w:rFonts w:ascii="Cambria" w:hAnsi="Cambria" w:cs="Tahoma"/>
        </w:rPr>
        <w:fldChar w:fldCharType="begin" w:fldLock="1"/>
      </w:r>
      <w:r w:rsidR="00B75800" w:rsidRPr="00860801">
        <w:rPr>
          <w:rFonts w:ascii="Cambria" w:hAnsi="Cambria" w:cs="Tahoma"/>
        </w:rPr>
        <w:instrText>ADDIN CSL_CITATION {"citationItems":[{"id":"ITEM-1","itemData":{"DOI":"10.1080/15140326.2022.2094668","ISSN":"16676726","abstract":"We estimate the impact of changes in non-performing loan (NPL) ratios on aggregate banking sector variables and the macroeconomy by estimating a panel Bayesian VAR model for twelve euro area countries. The main findings are as follows: i) An impulse response analysis shows that an exogenous increase in the change in NPL ratios tends to depress bank lending volumes, widens bank lending spreads and leads to a fall in real GDP growth and residential real estate prices; ii) A forecast error variance decomposition shows that shocks to the change in NPL ratios explain a relatively large share of the variance of the variables in the VAR, particularly for countries that experienced a large increase in NPL ratios during the recent crises; and iii) A three-year structural out-of-sample scenario analysis suggests that reducing banks’ NPL ratios can produce significant benefits in terms of improved macroeconomic and financial conditions.","author":[{"dropping-particle":"","family":"Huljak","given":"Ivan","non-dropping-particle":"","parse-names":false,"suffix":""},{"dropping-particle":"","family":"Martin","given":"Reiner","non-dropping-particle":"","parse-names":false,"suffix":""},{"dropping-particle":"","family":"Moccero","given":"Diego","non-dropping-particle":"","parse-names":false,"suffix":""},{"dropping-particle":"","family":"Pancaro","given":"Cosimo","non-dropping-particle":"","parse-names":false,"suffix":""}],"container-title":"Journal of Applied Economics","id":"ITEM-1","issue":"1","issued":{"date-parts":[["2022"]]},"page":"1050-1080","title":"Do non-performing loans matter for bank lending and the business cycle in euro area countries?","type":"article-journal","volume":"25"},"uris":["http://www.mendeley.com/documents/?uuid=b6dde67b-53f5-4a3f-ab2a-1ee125aa77e2"]}],"mendeley":{"formattedCitation":"(Huljak et al., 2022)","plainTextFormattedCitation":"(Huljak et al., 2022)","previouslyFormattedCitation":"(Huljak et al., 2022)"},"properties":{"noteIndex":0},"schema":"https://github.com/citation-style-language/schema/raw/master/csl-citation.json"}</w:instrText>
      </w:r>
      <w:r w:rsidR="00B75800" w:rsidRPr="00860801">
        <w:rPr>
          <w:rFonts w:ascii="Cambria" w:hAnsi="Cambria" w:cs="Tahoma"/>
        </w:rPr>
        <w:fldChar w:fldCharType="separate"/>
      </w:r>
      <w:r w:rsidR="00B75800" w:rsidRPr="00860801">
        <w:rPr>
          <w:rFonts w:ascii="Cambria" w:hAnsi="Cambria" w:cs="Tahoma"/>
          <w:noProof/>
        </w:rPr>
        <w:t xml:space="preserve">(Huljak et al., 2022) </w:t>
      </w:r>
      <w:r w:rsidR="00B75800" w:rsidRPr="00860801">
        <w:rPr>
          <w:rFonts w:ascii="Cambria" w:hAnsi="Cambria" w:cs="Tahoma"/>
        </w:rPr>
        <w:fldChar w:fldCharType="end"/>
      </w:r>
      <w:r w:rsidR="00B75800" w:rsidRPr="00860801">
        <w:rPr>
          <w:rFonts w:ascii="Cambria" w:hAnsi="Cambria" w:cs="Tahoma"/>
        </w:rPr>
        <w:t>based on impulse response analysis showing that exogenous increases in changes in the NPL ratio tend to depress bank loan volumes, widening bank loan spreads. However, reducing the NPL ratio at a bank will generate significant benefits to the financial condition and improve the economy as a whole.</w:t>
      </w:r>
    </w:p>
    <w:p w:rsidR="00956775" w:rsidRPr="00860801" w:rsidRDefault="00F35E8B" w:rsidP="00B75800">
      <w:pPr>
        <w:spacing w:after="0" w:line="360" w:lineRule="auto"/>
        <w:ind w:firstLine="720"/>
        <w:jc w:val="both"/>
        <w:rPr>
          <w:rFonts w:ascii="Cambria" w:hAnsi="Cambria" w:cs="Tahoma"/>
        </w:rPr>
      </w:pPr>
      <w:r w:rsidRPr="00860801">
        <w:rPr>
          <w:rFonts w:ascii="Cambria" w:hAnsi="Cambria" w:cs="Tahoma"/>
        </w:rPr>
        <w:t xml:space="preserve">Return on Assets will increase Financing because, with a positive return, the results received by banks will increase and become a trigger for Islamic banking to increase Financing so that the returns received by banks will increase even more. This is in line with research </w:t>
      </w:r>
      <w:r w:rsidRPr="00860801">
        <w:rPr>
          <w:rFonts w:ascii="Cambria" w:hAnsi="Cambria" w:cs="Tahoma"/>
        </w:rPr>
        <w:fldChar w:fldCharType="begin" w:fldLock="1"/>
      </w:r>
      <w:r w:rsidRPr="00860801">
        <w:rPr>
          <w:rFonts w:ascii="Cambria" w:hAnsi="Cambria" w:cs="Tahoma"/>
        </w:rPr>
        <w:instrText>ADDIN CSL_CITATION {"citationItems":[{"id":"ITEM-1","itemData":{"abstract":"Murabaha financing is a type of financing that dominates the financing contract on Islamic banking in Indonesia. This shows that financing on the basis of sale (murabaha) has a greater contribution than the financing of the basis for the profit and loss sharing (mudraba and musaraka). The purpose of this study is to determine the factors that affect the financing of murabaha in the Islamic Commercial Banking in Indonesia by using variables Third Party Fund (DPK), Capital Adequacy Ratio (CAR), Financing to Deposit Ratio (FDR), Non-Performing Financing (NPF) and Return on Assets (ROA). The population in this study is the performance of Islamic Commercial Banks in Indonesia in the period of January 2014 to June 2016. The data used in this research is secondary data and sample selection by using purposive sampling method. The analytical tool used in this research is multiple linear regression analysis at significantly the rate of 5%. The results of this study indicate that the variable DPK, CAR, FDR, NPF, and ROA simultaneously have an influence on Murabaha. Coefficient determination test results show that the five independent variables affect the dependent variable amounted to 87.6% and the remaining 12.4% is influenced by other variables. Partially DPK, CAR, FDR, and ROA have a positive and significant effect on the financing Murabaha. While the NPF has no influence on Murabaha financing","author":[{"dropping-particle":"","family":"Husaeni","given":"Uus Ahmad","non-dropping-particle":"","parse-names":false,"suffix":""}],"container-title":"International Journal of Nusantara Islam","id":"ITEM-1","issue":"02","issued":{"date-parts":[["2016"]]},"page":"1-16","title":"The Variables Effects of Murabahah in Islamic Commercial Banks","type":"article-journal","volume":"04"},"uris":["http://www.mendeley.com/documents/?uuid=fd5164b7-8cae-41cc-b091-ce0d0262d052"]}],"mendeley":{"formattedCitation":"(Husaeni, 2016)","plainTextFormattedCitation":"(Husaeni, 2016)","previouslyFormattedCitation":"(Husaeni, 2016)"},"properties":{"noteIndex":0},"schema":"https://github.com/citation-style-language/schema/raw/master/csl-citation.json"}</w:instrText>
      </w:r>
      <w:r w:rsidRPr="00860801">
        <w:rPr>
          <w:rFonts w:ascii="Cambria" w:hAnsi="Cambria" w:cs="Tahoma"/>
        </w:rPr>
        <w:fldChar w:fldCharType="separate"/>
      </w:r>
      <w:r w:rsidRPr="00860801">
        <w:rPr>
          <w:rFonts w:ascii="Cambria" w:hAnsi="Cambria" w:cs="Tahoma"/>
          <w:noProof/>
        </w:rPr>
        <w:t>(Husaeni, 2016)</w:t>
      </w:r>
      <w:r w:rsidRPr="00860801">
        <w:rPr>
          <w:rFonts w:ascii="Cambria" w:hAnsi="Cambria" w:cs="Tahoma"/>
        </w:rPr>
        <w:fldChar w:fldCharType="end"/>
      </w:r>
      <w:r w:rsidRPr="00860801">
        <w:rPr>
          <w:rFonts w:ascii="Cambria" w:hAnsi="Cambria" w:cs="Tahoma"/>
        </w:rPr>
        <w:t xml:space="preserve">. However, research conducted by </w:t>
      </w:r>
      <w:r w:rsidRPr="00860801">
        <w:rPr>
          <w:rFonts w:ascii="Cambria" w:hAnsi="Cambria" w:cs="Tahoma"/>
        </w:rPr>
        <w:fldChar w:fldCharType="begin" w:fldLock="1"/>
      </w:r>
      <w:r w:rsidR="004104DB" w:rsidRPr="00860801">
        <w:rPr>
          <w:rFonts w:ascii="Cambria" w:hAnsi="Cambria" w:cs="Tahoma"/>
        </w:rPr>
        <w:instrText>ADDIN CSL_CITATION {"citationItems":[{"id":"ITEM-1","itemData":{"DOI":"10.21511/bbs.15(4).2020.09","ISSN":"19917074","abstract":"This study aims to assess the impact of bank-specific factors and macroeconomic indicators on the net interest margin (NIM) of commercial banks in Indonesia. Data from Indonesian commercial banks are used. Data are collected from the banks’ annual reports and the Financial Services Authority (OJK) for the period 2008 to 2018. A panel data regression model is used to estimate the effect of bank-specific and macroeconomic factors. The results prove that the variables of Non-Performing Loans (NPL), Loan to Deposit Ratio (LDR), Return on Assets (ROA), Interest Rate (SBI), and Exchange Rate (FOREX) affect NIM. The exchange rate variable has a predominant effect, while the NPL factor has a less strong influence on NIM. The empirical evidence from this research is important for commercial banks in Indonesia to improve operational efficiency through NIM performance. Internal and external factors of a bank should be subject of attention of bank managers.","author":[{"dropping-particle":"","family":"Astarini","given":"Raras Palupi","non-dropping-particle":"","parse-names":false,"suffix":""},{"dropping-particle":"","family":"Hartoyo","given":"Sri","non-dropping-particle":"","parse-names":false,"suffix":""},{"dropping-particle":"","family":"Maulana","given":"Tubagus Nur Ahmad","non-dropping-particle":"","parse-names":false,"suffix":""}],"container-title":"International Journal of Science and Research (IJSR)","id":"ITEM-1","issue":"9","issued":{"date-parts":[["2016"]]},"page":"99-107","title":"Impact of internal and external factors on the net interest margin of banks in Indonesia","type":"article-journal","volume":"5"},"uris":["http://www.mendeley.com/documents/?uuid=d3eea6bf-c1d3-43b0-8b86-bee09110dbca"]}],"mendeley":{"formattedCitation":"(Astarini et al., 2016)","plainTextFormattedCitation":"(Astarini et al., 2016)","previouslyFormattedCitation":"(Astarini et al., 2016)"},"properties":{"noteIndex":0},"schema":"https://github.com/citation-style-language/schema/raw/master/csl-citation.json"}</w:instrText>
      </w:r>
      <w:r w:rsidRPr="00860801">
        <w:rPr>
          <w:rFonts w:ascii="Cambria" w:hAnsi="Cambria" w:cs="Tahoma"/>
        </w:rPr>
        <w:fldChar w:fldCharType="separate"/>
      </w:r>
      <w:r w:rsidRPr="00860801">
        <w:rPr>
          <w:rFonts w:ascii="Cambria" w:hAnsi="Cambria" w:cs="Tahoma"/>
          <w:noProof/>
        </w:rPr>
        <w:t xml:space="preserve">(Astarini et al., 2016) </w:t>
      </w:r>
      <w:r w:rsidRPr="00860801">
        <w:rPr>
          <w:rFonts w:ascii="Cambria" w:hAnsi="Cambria" w:cs="Tahoma"/>
        </w:rPr>
        <w:fldChar w:fldCharType="end"/>
      </w:r>
      <w:r w:rsidRPr="00860801">
        <w:rPr>
          <w:rFonts w:ascii="Cambria" w:hAnsi="Cambria" w:cs="Tahoma"/>
        </w:rPr>
        <w:t>ROA does not have a significant effect on Financing for MSMEs or non-MSMEs.</w:t>
      </w:r>
    </w:p>
    <w:p w:rsidR="00956775" w:rsidRPr="00860801" w:rsidRDefault="00F35E8B" w:rsidP="004104DB">
      <w:pPr>
        <w:spacing w:after="0" w:line="360" w:lineRule="auto"/>
        <w:ind w:firstLine="720"/>
        <w:jc w:val="both"/>
        <w:rPr>
          <w:rFonts w:ascii="Cambria" w:hAnsi="Cambria" w:cs="Tahoma"/>
        </w:rPr>
      </w:pPr>
      <w:r w:rsidRPr="00860801">
        <w:rPr>
          <w:rFonts w:ascii="Cambria" w:hAnsi="Cambria" w:cs="Tahoma"/>
        </w:rPr>
        <w:t xml:space="preserve">The equivalent rate of </w:t>
      </w:r>
      <w:proofErr w:type="spellStart"/>
      <w:r w:rsidRPr="00860801">
        <w:rPr>
          <w:rFonts w:ascii="Cambria" w:hAnsi="Cambria" w:cs="Tahoma"/>
        </w:rPr>
        <w:t>Mudharabah</w:t>
      </w:r>
      <w:proofErr w:type="spellEnd"/>
      <w:r w:rsidRPr="00860801">
        <w:rPr>
          <w:rFonts w:ascii="Cambria" w:hAnsi="Cambria" w:cs="Tahoma"/>
        </w:rPr>
        <w:t xml:space="preserve"> and the Equivalent rate of </w:t>
      </w:r>
      <w:proofErr w:type="spellStart"/>
      <w:r w:rsidRPr="00860801">
        <w:rPr>
          <w:rFonts w:ascii="Cambria" w:hAnsi="Cambria" w:cs="Tahoma"/>
        </w:rPr>
        <w:t>Musyarakah</w:t>
      </w:r>
      <w:proofErr w:type="spellEnd"/>
      <w:r w:rsidRPr="00860801">
        <w:rPr>
          <w:rFonts w:ascii="Cambria" w:hAnsi="Cambria" w:cs="Tahoma"/>
        </w:rPr>
        <w:t xml:space="preserve"> have an effect on the Financing disbursed because the higher the rate of return on a deposit or investment, the greater the funds accumulated in banks, so it will have an impact on the distribution of Financing to Islamic banks.</w:t>
      </w:r>
    </w:p>
    <w:p w:rsidR="00956775" w:rsidRPr="00860801" w:rsidRDefault="00F35E8B" w:rsidP="00B75800">
      <w:pPr>
        <w:spacing w:after="0" w:line="360" w:lineRule="auto"/>
        <w:ind w:firstLine="720"/>
        <w:jc w:val="both"/>
        <w:rPr>
          <w:rFonts w:ascii="Cambria" w:hAnsi="Cambria" w:cs="Tahoma"/>
        </w:rPr>
      </w:pPr>
      <w:r w:rsidRPr="00860801">
        <w:rPr>
          <w:rFonts w:ascii="Cambria" w:hAnsi="Cambria" w:cs="Tahoma"/>
        </w:rPr>
        <w:t>Interest rates have an effect on Financing; an interest rate policy is one way to prevent a crisis so that it can become an instrument, so that bank credit conditions do not get worse. High</w:t>
      </w:r>
      <w:r w:rsidR="004104DB" w:rsidRPr="00860801">
        <w:rPr>
          <w:rFonts w:ascii="Cambria" w:hAnsi="Cambria" w:cs="Tahoma"/>
        </w:rPr>
        <w:t xml:space="preserve">-interest rates will reduce the distribution of Financing because the rate of return that must be paid by the borrower will be high, so there are fears that there will be non-current payments. Based on this explanation, the interest rate has an effect on bank credit growth </w:t>
      </w:r>
      <w:r w:rsidR="004104DB" w:rsidRPr="00860801">
        <w:rPr>
          <w:rFonts w:ascii="Cambria" w:hAnsi="Cambria" w:cs="Tahoma"/>
        </w:rPr>
        <w:fldChar w:fldCharType="begin" w:fldLock="1"/>
      </w:r>
      <w:r w:rsidR="004104DB" w:rsidRPr="00860801">
        <w:rPr>
          <w:rFonts w:ascii="Cambria" w:hAnsi="Cambria" w:cs="Tahoma"/>
        </w:rPr>
        <w:instrText>ADDIN CSL_CITATION {"citationItems":[{"id":"ITEM-1","itemData":{"author":[{"dropping-particle":"","family":"Rahmananingtyas","given":"Novarina Ayu","non-dropping-particle":"","parse-names":false,"suffix":""}],"container-title":"Dinasti International Journal of Education Management and Social Science","id":"ITEM-1","issue":"1","issued":{"date-parts":[["2022"]]},"page":"128-137","title":"The Effect of Interest Rates and Inflation on Loan Growth and Non Performing Loan","type":"article-journal","volume":"4"},"uris":["http://www.mendeley.com/documents/?uuid=969f72ca-ad27-4938-a050-19507aad802b"]}],"mendeley":{"formattedCitation":"(Rahmananingtyas, 2022)","plainTextFormattedCitation":"(Rahmananingtyas, 2022)","previouslyFormattedCitation":"(Rahmananingtyas, 2022)"},"properties":{"noteIndex":0},"schema":"https://github.com/citation-style-language/schema/raw/master/csl-citation.json"}</w:instrText>
      </w:r>
      <w:r w:rsidR="004104DB" w:rsidRPr="00860801">
        <w:rPr>
          <w:rFonts w:ascii="Cambria" w:hAnsi="Cambria" w:cs="Tahoma"/>
        </w:rPr>
        <w:fldChar w:fldCharType="separate"/>
      </w:r>
      <w:r w:rsidR="004104DB" w:rsidRPr="00860801">
        <w:rPr>
          <w:rFonts w:ascii="Cambria" w:hAnsi="Cambria" w:cs="Tahoma"/>
          <w:noProof/>
        </w:rPr>
        <w:t>(Rahmananingtyas, 2022)</w:t>
      </w:r>
      <w:r w:rsidR="004104DB" w:rsidRPr="00860801">
        <w:rPr>
          <w:rFonts w:ascii="Cambria" w:hAnsi="Cambria" w:cs="Tahoma"/>
        </w:rPr>
        <w:fldChar w:fldCharType="end"/>
      </w:r>
      <w:r w:rsidR="004104DB" w:rsidRPr="00860801">
        <w:rPr>
          <w:rFonts w:ascii="Cambria" w:hAnsi="Cambria" w:cs="Tahoma"/>
        </w:rPr>
        <w:t xml:space="preserve">, </w:t>
      </w:r>
      <w:r w:rsidR="004104DB" w:rsidRPr="00860801">
        <w:rPr>
          <w:rFonts w:ascii="Cambria" w:hAnsi="Cambria" w:cs="Tahoma"/>
        </w:rPr>
        <w:fldChar w:fldCharType="begin" w:fldLock="1"/>
      </w:r>
      <w:r w:rsidR="00B34E53" w:rsidRPr="00860801">
        <w:rPr>
          <w:rFonts w:ascii="Cambria" w:hAnsi="Cambria" w:cs="Tahoma"/>
        </w:rPr>
        <w:instrText>ADDIN CSL_CITATION {"citationItems":[{"id":"ITEM-1","itemData":{"DOI":"10.52403/ijrr.20220758","ISSN":"2454-2237","abstract":"Macroeconomics in Indonesia is a system for analyzing changes in the country's economy that can affect markets, companies and society. Macroeconomics can also explain the shape of changes in economic conditions in Indonesia. The formulation of the problem in this study are: (1) Does the inflation rate, interest rate and exchange rate have a partial effect on Non Performing Loans at PT. Bank SUMUT; (2) Does Non-Performing Loan affect credit growth at PT. Bank SUMUT; (3) Does the inflation rate, interest rate and exchange rate have a partial effect on Non Performing Loans through credit growth at PT. Bank SUMUT. The type of research used in this study is a causal research method using a quantitative approach, using quantitative data carried out by classical assumption tests, multiple regression analysis, and path analysis using Eviews 10. The results show that (1) Inflation and interest rates have a positive and significant effect on Non-Performing Loans, this indicates that the higher the inflation rate and interest rates, the higher the Non-Performing Loans, while the Rupiah exchange rate has a positive but not significant effect. to Non Performing Loans, this shows that the higher the Rupiah exchange rate does not affect the Non Performing Loans; (2) Credit growth has a negative and significant effect on Non-Performing Loans, this indicates that the higher the credit growth, the lower the Non-Performing Loans; (3) The inflation rate and interest rates have a significant effect on credit growth and credit growth also has a significant effect on Non Performing Loans, so this shows that credit growth can mediate the relationship between inflation rates and interest rates on Non Performing Loans, while the exchange rate Rupiah has no effect on credit growth but credit growth has a significant effect on Non-Performing Loans, so this shows that credit growth cannot mediate the relationship between the Rupiah exchange rate and Non- Performing Loans. Keywords: Inflation Rate, Interest Rate, Rupiah Exchange Rate, Credit Growth, Non-Performing Loans..","author":[{"dropping-particle":"","family":"Tanjung","given":"Oppie Meisya","non-dropping-particle":"","parse-names":false,"suffix":""},{"dropping-particle":"","family":"Sadalia","given":"Isfenti","non-dropping-particle":"","parse-names":false,"suffix":""},{"dropping-particle":"","family":"Irawati","given":"Nisrul","non-dropping-particle":"","parse-names":false,"suffix":""}],"container-title":"International Journal of Research and Review","id":"ITEM-1","issue":"7","issued":{"date-parts":[["2022"]]},"page":"535-549","title":"The Effect of Macroeconomics on Non-Performing Loans with Credit Growth as an Intervening Variable at PT. Bank SUMUT","type":"article-journal","volume":"9"},"uris":["http://www.mendeley.com/documents/?uuid=ce995f47-c56e-4b92-883c-6a1fbe6da13e"]}],"mendeley":{"formattedCitation":"(Tanjung et al., 2022)","plainTextFormattedCitation":"(Tanjung et al., 2022)","previouslyFormattedCitation":"(Tanjung et al., 2022)"},"properties":{"noteIndex":0},"schema":"https://github.com/citation-style-language/schema/raw/master/csl-citation.json"}</w:instrText>
      </w:r>
      <w:r w:rsidR="004104DB" w:rsidRPr="00860801">
        <w:rPr>
          <w:rFonts w:ascii="Cambria" w:hAnsi="Cambria" w:cs="Tahoma"/>
        </w:rPr>
        <w:fldChar w:fldCharType="separate"/>
      </w:r>
      <w:r w:rsidR="004104DB" w:rsidRPr="00860801">
        <w:rPr>
          <w:rFonts w:ascii="Cambria" w:hAnsi="Cambria" w:cs="Tahoma"/>
          <w:noProof/>
        </w:rPr>
        <w:t>(Tanjung et al., 2022)</w:t>
      </w:r>
      <w:r w:rsidR="004104DB" w:rsidRPr="00860801">
        <w:rPr>
          <w:rFonts w:ascii="Cambria" w:hAnsi="Cambria" w:cs="Tahoma"/>
        </w:rPr>
        <w:fldChar w:fldCharType="end"/>
      </w:r>
      <w:r w:rsidR="004104DB" w:rsidRPr="00860801">
        <w:rPr>
          <w:rFonts w:ascii="Cambria" w:hAnsi="Cambria" w:cs="Tahoma"/>
        </w:rPr>
        <w:t>.</w:t>
      </w:r>
    </w:p>
    <w:p w:rsidR="00C817D5" w:rsidRPr="00860801" w:rsidRDefault="00F35E8B" w:rsidP="00B34E53">
      <w:pPr>
        <w:spacing w:after="0" w:line="360" w:lineRule="auto"/>
        <w:ind w:firstLine="720"/>
        <w:jc w:val="both"/>
        <w:rPr>
          <w:rFonts w:ascii="Cambria" w:hAnsi="Cambria" w:cs="Tahoma"/>
        </w:rPr>
      </w:pPr>
      <w:r w:rsidRPr="00860801">
        <w:rPr>
          <w:rFonts w:ascii="Cambria" w:hAnsi="Cambria" w:cs="Tahoma"/>
        </w:rPr>
        <w:t xml:space="preserve">Inflation </w:t>
      </w:r>
      <w:proofErr w:type="spellStart"/>
      <w:r w:rsidRPr="00860801">
        <w:rPr>
          <w:rFonts w:ascii="Cambria" w:hAnsi="Cambria" w:cs="Tahoma"/>
        </w:rPr>
        <w:t>Inflation</w:t>
      </w:r>
      <w:proofErr w:type="spellEnd"/>
      <w:r w:rsidRPr="00860801">
        <w:rPr>
          <w:rFonts w:ascii="Cambria" w:hAnsi="Cambria" w:cs="Tahoma"/>
        </w:rPr>
        <w:t xml:space="preserve"> is one of the factors that can trigger an increase in lending rates set by banks. In this case, when there is an increase in Inflation, it will affect the credit burden borne by creditors. In the theory of supply and demand, the price of goods and services increases, and banks will increase lending rates. When interest rates rise, bank credit will tend to be expensive, thus burdening the public with demand for credit, which </w:t>
      </w:r>
      <w:r w:rsidRPr="00860801">
        <w:rPr>
          <w:rFonts w:ascii="Cambria" w:hAnsi="Cambria" w:cs="Tahoma"/>
        </w:rPr>
        <w:lastRenderedPageBreak/>
        <w:t xml:space="preserve">can cause the amount of credit to decrease so that the money circulating in the community also decreases </w:t>
      </w:r>
      <w:r w:rsidR="00B34E53" w:rsidRPr="00860801">
        <w:rPr>
          <w:rFonts w:ascii="Cambria" w:hAnsi="Cambria" w:cs="Tahoma"/>
        </w:rPr>
        <w:fldChar w:fldCharType="begin" w:fldLock="1"/>
      </w:r>
      <w:r w:rsidR="00B34E53" w:rsidRPr="00860801">
        <w:rPr>
          <w:rFonts w:ascii="Cambria" w:hAnsi="Cambria" w:cs="Tahoma"/>
        </w:rPr>
        <w:instrText>ADDIN CSL_CITATION {"citationItems":[{"id":"ITEM-1","itemData":{"author":[{"dropping-particle":"","family":"Apriliani","given":"Winda","non-dropping-particle":"","parse-names":false,"suffix":""},{"dropping-particle":"","family":"Azizah","given":"Siti Nur","non-dropping-particle":"","parse-names":false,"suffix":""},{"dropping-particle":"","family":"Santoso","given":"Suryo Budi","non-dropping-particle":"","parse-names":false,"suffix":""},{"dropping-particle":"","family":"Hapsari","given":"Ira","non-dropping-particle":"","parse-names":false,"suffix":""}],"id":"ITEM-1","issue":"2","issued":{"date-parts":[["2021"]]},"page":"26-34","title":"ANALYSIS OF THE EFFECT OF TPF , CAR , NPL , AND INFLATION AND BI RATE ON LOAN DISTRIBUTION ( Empirical Study on Commercial Banks Listed on the Indonesia Stock Exchange for the Period 2017-2019 )","type":"article-journal","volume":"2"},"uris":["http://www.mendeley.com/documents/?uuid=7f535a8a-7df6-42bf-888d-037c168feddd"]}],"mendeley":{"formattedCitation":"(Apriliani et al., 2021)","plainTextFormattedCitation":"(Apriliani et al., 2021)"},"properties":{"noteIndex":0},"schema":"https://github.com/citation-style-language/schema/raw/master/csl-citation.json"}</w:instrText>
      </w:r>
      <w:r w:rsidR="00B34E53" w:rsidRPr="00860801">
        <w:rPr>
          <w:rFonts w:ascii="Cambria" w:hAnsi="Cambria" w:cs="Tahoma"/>
        </w:rPr>
        <w:fldChar w:fldCharType="separate"/>
      </w:r>
      <w:r w:rsidR="00B34E53" w:rsidRPr="00860801">
        <w:rPr>
          <w:rFonts w:ascii="Cambria" w:hAnsi="Cambria" w:cs="Tahoma"/>
          <w:noProof/>
        </w:rPr>
        <w:t>(Apriliani et al., 2021)</w:t>
      </w:r>
      <w:r w:rsidR="00B34E53" w:rsidRPr="00860801">
        <w:rPr>
          <w:rFonts w:ascii="Cambria" w:hAnsi="Cambria" w:cs="Tahoma"/>
        </w:rPr>
        <w:fldChar w:fldCharType="end"/>
      </w:r>
      <w:r w:rsidR="00B34E53" w:rsidRPr="00860801">
        <w:rPr>
          <w:rFonts w:ascii="Cambria" w:hAnsi="Cambria" w:cs="Tahoma"/>
        </w:rPr>
        <w:t>.</w:t>
      </w:r>
    </w:p>
    <w:p w:rsidR="00C817D5" w:rsidRPr="00860801" w:rsidRDefault="00F35E8B" w:rsidP="00355F96">
      <w:pPr>
        <w:spacing w:after="0" w:line="360" w:lineRule="auto"/>
        <w:jc w:val="both"/>
        <w:rPr>
          <w:rFonts w:ascii="Cambria" w:hAnsi="Cambria" w:cs="Tahoma"/>
        </w:rPr>
      </w:pPr>
      <w:r w:rsidRPr="00860801">
        <w:rPr>
          <w:rFonts w:ascii="Cambria" w:hAnsi="Cambria" w:cs="Tahoma"/>
        </w:rPr>
        <w:tab/>
      </w:r>
    </w:p>
    <w:p w:rsidR="00DB2D36" w:rsidRPr="00860801" w:rsidRDefault="00F35E8B" w:rsidP="006F52A6">
      <w:pPr>
        <w:spacing w:after="0" w:line="360" w:lineRule="auto"/>
        <w:jc w:val="both"/>
        <w:rPr>
          <w:rFonts w:ascii="Cambria" w:hAnsi="Cambria" w:cs="Tahoma"/>
          <w:b/>
        </w:rPr>
      </w:pPr>
      <w:r w:rsidRPr="00860801">
        <w:rPr>
          <w:rFonts w:ascii="Cambria" w:hAnsi="Cambria" w:cs="Tahoma"/>
          <w:b/>
        </w:rPr>
        <w:t>Research methods</w:t>
      </w:r>
    </w:p>
    <w:p w:rsidR="00691B6B" w:rsidRPr="00860801" w:rsidRDefault="00F35E8B" w:rsidP="00691B6B">
      <w:pPr>
        <w:spacing w:after="0" w:line="360" w:lineRule="auto"/>
        <w:ind w:firstLine="709"/>
        <w:jc w:val="both"/>
        <w:rPr>
          <w:rFonts w:ascii="Cambria" w:hAnsi="Cambria" w:cs="Tahoma"/>
        </w:rPr>
      </w:pPr>
      <w:r w:rsidRPr="00860801">
        <w:rPr>
          <w:rFonts w:ascii="Cambria" w:hAnsi="Cambria" w:cs="Tahoma"/>
        </w:rPr>
        <w:t xml:space="preserve">Based on the research objectives, the authors wanted to know and analyze the integration of Islamic banking financing and how macroeconomic shocks affect Financing in Islamic banks. The research design uses quantitative analysis with Islamic banking panel data for the period 2019-2022 with monthly data. The study used the VAR (Vector </w:t>
      </w:r>
      <w:proofErr w:type="spellStart"/>
      <w:r w:rsidRPr="00860801">
        <w:rPr>
          <w:rFonts w:ascii="Cambria" w:hAnsi="Cambria" w:cs="Tahoma"/>
        </w:rPr>
        <w:t>Autoregression</w:t>
      </w:r>
      <w:proofErr w:type="spellEnd"/>
      <w:r w:rsidRPr="00860801">
        <w:rPr>
          <w:rFonts w:ascii="Cambria" w:hAnsi="Cambria" w:cs="Tahoma"/>
        </w:rPr>
        <w:t>)/VECM (Vector Error Correction Model) model. This model is specifically capable of looking at estimating short and long-term relationships.</w:t>
      </w:r>
      <w:bookmarkStart w:id="1" w:name="_Toc521384091"/>
    </w:p>
    <w:p w:rsidR="00432944" w:rsidRPr="00860801" w:rsidRDefault="00F35E8B" w:rsidP="00691B6B">
      <w:pPr>
        <w:spacing w:after="0" w:line="360" w:lineRule="auto"/>
        <w:ind w:firstLine="709"/>
        <w:jc w:val="both"/>
        <w:rPr>
          <w:rFonts w:ascii="Cambria" w:hAnsi="Cambria" w:cs="Tahoma"/>
        </w:rPr>
      </w:pPr>
      <w:r w:rsidRPr="00860801">
        <w:rPr>
          <w:rFonts w:ascii="Cambria" w:hAnsi="Cambria" w:cs="Tahoma"/>
          <w:color w:val="000000"/>
        </w:rPr>
        <w:t xml:space="preserve">The VAR or VECM panel approach is used to see </w:t>
      </w:r>
    </w:p>
    <w:p w:rsidR="00432944" w:rsidRPr="00860801" w:rsidRDefault="00F35E8B" w:rsidP="00691B6B">
      <w:pPr>
        <w:spacing w:after="0" w:line="360" w:lineRule="auto"/>
        <w:ind w:firstLine="709"/>
        <w:jc w:val="both"/>
        <w:rPr>
          <w:rFonts w:ascii="Cambria" w:hAnsi="Cambria" w:cs="Tahoma"/>
        </w:rPr>
      </w:pPr>
      <w:proofErr w:type="gramStart"/>
      <w:r w:rsidRPr="00860801">
        <w:rPr>
          <w:rFonts w:ascii="Cambria" w:hAnsi="Cambria" w:cs="Tahoma"/>
          <w:color w:val="000000"/>
        </w:rPr>
        <w:t>the</w:t>
      </w:r>
      <w:proofErr w:type="gramEnd"/>
      <w:r w:rsidRPr="00860801">
        <w:rPr>
          <w:rFonts w:ascii="Cambria" w:hAnsi="Cambria" w:cs="Tahoma"/>
          <w:color w:val="000000"/>
        </w:rPr>
        <w:t xml:space="preserve"> intensity and </w:t>
      </w:r>
      <w:r w:rsidRPr="00860801">
        <w:rPr>
          <w:rFonts w:ascii="Cambria" w:hAnsi="Cambria" w:cs="Tahoma"/>
          <w:i/>
          <w:iCs/>
          <w:color w:val="000000"/>
        </w:rPr>
        <w:t xml:space="preserve">speed of adjustment </w:t>
      </w:r>
      <w:r w:rsidRPr="00860801">
        <w:rPr>
          <w:rFonts w:ascii="Cambria" w:hAnsi="Cambria" w:cs="Tahoma"/>
          <w:color w:val="000000"/>
        </w:rPr>
        <w:t xml:space="preserve">or response of each variable in the study. The method in this study uses VAR in a restricted model or better known as </w:t>
      </w:r>
      <w:r w:rsidRPr="00860801">
        <w:rPr>
          <w:rFonts w:ascii="Cambria" w:hAnsi="Cambria" w:cs="Tahoma"/>
          <w:i/>
          <w:iCs/>
          <w:color w:val="000000"/>
        </w:rPr>
        <w:t xml:space="preserve">the Vector Error Correction Model </w:t>
      </w:r>
      <w:r w:rsidRPr="00860801">
        <w:rPr>
          <w:rFonts w:ascii="Cambria" w:hAnsi="Cambria" w:cs="Tahoma"/>
          <w:color w:val="000000"/>
        </w:rPr>
        <w:t xml:space="preserve">(VECM). Additional restrictions must be provided because of the existence of non-stationary data forms at the </w:t>
      </w:r>
      <w:proofErr w:type="spellStart"/>
      <w:r w:rsidRPr="00860801">
        <w:rPr>
          <w:rFonts w:ascii="Cambria" w:hAnsi="Cambria" w:cs="Tahoma"/>
          <w:color w:val="000000"/>
        </w:rPr>
        <w:t>cointegrated</w:t>
      </w:r>
      <w:proofErr w:type="spellEnd"/>
      <w:r w:rsidRPr="00860801">
        <w:rPr>
          <w:rFonts w:ascii="Cambria" w:hAnsi="Cambria" w:cs="Tahoma"/>
          <w:color w:val="000000"/>
        </w:rPr>
        <w:t xml:space="preserve"> data level and level.</w:t>
      </w:r>
      <w:bookmarkStart w:id="2" w:name="_Toc521384092"/>
      <w:bookmarkEnd w:id="1"/>
    </w:p>
    <w:p w:rsidR="00311D55" w:rsidRPr="00860801" w:rsidRDefault="00F35E8B" w:rsidP="00432944">
      <w:pPr>
        <w:spacing w:after="0" w:line="360" w:lineRule="auto"/>
        <w:ind w:firstLine="709"/>
        <w:jc w:val="both"/>
        <w:rPr>
          <w:rFonts w:ascii="Cambria" w:hAnsi="Cambria" w:cs="Tahoma"/>
        </w:rPr>
      </w:pPr>
      <w:r w:rsidRPr="00860801">
        <w:rPr>
          <w:rFonts w:ascii="Cambria" w:hAnsi="Cambria" w:cs="Tahoma"/>
          <w:color w:val="000000"/>
        </w:rPr>
        <w:t>The VECM standard mathematical equation obtained from the VAR model is as follows:</w:t>
      </w:r>
      <w:bookmarkEnd w:id="2"/>
    </w:p>
    <w:p w:rsidR="00311D55" w:rsidRPr="00860801" w:rsidRDefault="00F35E8B" w:rsidP="00311D55">
      <w:pPr>
        <w:pStyle w:val="ListParagraph"/>
        <w:spacing w:after="0" w:line="480" w:lineRule="auto"/>
        <w:ind w:left="1134" w:firstLine="567"/>
        <w:jc w:val="both"/>
        <w:rPr>
          <w:rFonts w:ascii="Cambria" w:hAnsi="Cambria" w:cs="Tahoma"/>
          <w:color w:val="000000"/>
        </w:rPr>
      </w:pPr>
      <w:bookmarkStart w:id="3" w:name="_Toc521384093"/>
      <w:r w:rsidRPr="00860801">
        <w:rPr>
          <w:rFonts w:ascii="Cambria" w:hAnsi="Cambria" w:cs="Tahoma"/>
          <w:color w:val="000000"/>
        </w:rPr>
        <w:t xml:space="preserve">∆Xt-1 = </w:t>
      </w:r>
      <w:proofErr w:type="spellStart"/>
      <w:r w:rsidRPr="00860801">
        <w:rPr>
          <w:rFonts w:ascii="Cambria" w:hAnsi="Cambria" w:cs="Tahoma"/>
          <w:color w:val="000000"/>
        </w:rPr>
        <w:t>μt</w:t>
      </w:r>
      <w:proofErr w:type="spellEnd"/>
      <w:r w:rsidRPr="00860801">
        <w:rPr>
          <w:rFonts w:ascii="Cambria" w:hAnsi="Cambria" w:cs="Tahoma"/>
          <w:color w:val="000000"/>
        </w:rPr>
        <w:t xml:space="preserve"> + ПXt-1 + ∑ ∆ Xt-1 + </w:t>
      </w:r>
      <w:proofErr w:type="spellStart"/>
      <w:r w:rsidRPr="00860801">
        <w:rPr>
          <w:rFonts w:ascii="Cambria" w:hAnsi="Cambria" w:cs="Tahoma"/>
          <w:color w:val="000000"/>
        </w:rPr>
        <w:t>μt</w:t>
      </w:r>
      <w:bookmarkEnd w:id="3"/>
      <w:proofErr w:type="spellEnd"/>
    </w:p>
    <w:p w:rsidR="00432944" w:rsidRPr="00860801" w:rsidRDefault="00F35E8B" w:rsidP="00432944">
      <w:pPr>
        <w:spacing w:after="0" w:line="480" w:lineRule="auto"/>
        <w:ind w:firstLine="709"/>
        <w:jc w:val="both"/>
        <w:rPr>
          <w:rFonts w:ascii="Cambria" w:hAnsi="Cambria" w:cs="Tahoma"/>
          <w:color w:val="000000"/>
        </w:rPr>
      </w:pPr>
      <w:bookmarkStart w:id="4" w:name="_Toc521384094"/>
      <w:r w:rsidRPr="00860801">
        <w:rPr>
          <w:rFonts w:ascii="Cambria" w:hAnsi="Cambria" w:cs="Tahoma"/>
          <w:color w:val="000000"/>
        </w:rPr>
        <w:t>П and Γ are functions of Ai; matrix П can be decomposed into 2-dimensional matrices (</w:t>
      </w:r>
      <w:proofErr w:type="spellStart"/>
      <w:r w:rsidRPr="00860801">
        <w:rPr>
          <w:rFonts w:ascii="Cambria" w:hAnsi="Cambria" w:cs="Tahoma"/>
          <w:color w:val="000000"/>
        </w:rPr>
        <w:t>nxr</w:t>
      </w:r>
      <w:proofErr w:type="spellEnd"/>
      <w:r w:rsidRPr="00860801">
        <w:rPr>
          <w:rFonts w:ascii="Cambria" w:hAnsi="Cambria" w:cs="Tahoma"/>
          <w:color w:val="000000"/>
        </w:rPr>
        <w:t xml:space="preserve">) α and β: П = αβT, where α is called the adjustment matrix, and β is the </w:t>
      </w:r>
      <w:proofErr w:type="spellStart"/>
      <w:r w:rsidRPr="00860801">
        <w:rPr>
          <w:rFonts w:ascii="Cambria" w:hAnsi="Cambria" w:cs="Tahoma"/>
          <w:color w:val="000000"/>
        </w:rPr>
        <w:t>cointegration</w:t>
      </w:r>
      <w:proofErr w:type="spellEnd"/>
      <w:r w:rsidRPr="00860801">
        <w:rPr>
          <w:rFonts w:ascii="Cambria" w:hAnsi="Cambria" w:cs="Tahoma"/>
          <w:color w:val="000000"/>
        </w:rPr>
        <w:t xml:space="preserve"> vector, and r is the </w:t>
      </w:r>
      <w:proofErr w:type="spellStart"/>
      <w:r w:rsidRPr="00860801">
        <w:rPr>
          <w:rFonts w:ascii="Cambria" w:hAnsi="Cambria" w:cs="Tahoma"/>
          <w:color w:val="000000"/>
        </w:rPr>
        <w:t>cointegration</w:t>
      </w:r>
      <w:proofErr w:type="spellEnd"/>
      <w:r w:rsidRPr="00860801">
        <w:rPr>
          <w:rFonts w:ascii="Cambria" w:hAnsi="Cambria" w:cs="Tahoma"/>
          <w:color w:val="000000"/>
        </w:rPr>
        <w:t xml:space="preserve"> rank. This can be tested using the unit root test. When unit roots cannot be found, traditional econometric methods can be applied </w:t>
      </w:r>
      <w:r w:rsidR="002D24EC" w:rsidRPr="00860801">
        <w:rPr>
          <w:rFonts w:ascii="Cambria" w:hAnsi="Cambria" w:cs="Tahoma"/>
          <w:color w:val="000000"/>
        </w:rPr>
        <w:fldChar w:fldCharType="begin" w:fldLock="1"/>
      </w:r>
      <w:r w:rsidR="005374BD" w:rsidRPr="00860801">
        <w:rPr>
          <w:rFonts w:ascii="Cambria" w:hAnsi="Cambria" w:cs="Tahoma"/>
          <w:color w:val="000000"/>
        </w:rPr>
        <w:instrText>ADDIN CSL_CITATION {"citationItems":[{"id":"ITEM-1","itemData":{"ISBN":"978-1-118-80856-6","author":[{"dropping-particle":"","family":"Enders","given":"Walter","non-dropping-particle":"","parse-names":false,"suffix":""}],"edition":"4","id":"ITEM-1","issued":{"date-parts":[["2014"]]},"publisher":"John Wiley &amp; Sons","publisher-place":"New York","title":"Applied Econometric Time Series, 4th Edition","type":"book"},"uris":["http://www.mendeley.com/documents/?uuid=6a32bb18-ff37-417c-a80b-ac0c7da158cf"]}],"mendeley":{"formattedCitation":"(Enders, 2014)","plainTextFormattedCitation":"(Enders, 2014)","previouslyFormattedCitation":"(Enders, 2014)"},"properties":{"noteIndex":0},"schema":"https://github.com/citation-style-language/schema/raw/master/csl-citation.json"}</w:instrText>
      </w:r>
      <w:r w:rsidR="002D24EC" w:rsidRPr="00860801">
        <w:rPr>
          <w:rFonts w:ascii="Cambria" w:hAnsi="Cambria" w:cs="Tahoma"/>
          <w:color w:val="000000"/>
        </w:rPr>
        <w:fldChar w:fldCharType="separate"/>
      </w:r>
      <w:r w:rsidR="002D24EC" w:rsidRPr="00860801">
        <w:rPr>
          <w:rFonts w:ascii="Cambria" w:hAnsi="Cambria" w:cs="Tahoma"/>
          <w:noProof/>
          <w:color w:val="000000"/>
        </w:rPr>
        <w:t>(Enders, 2014)</w:t>
      </w:r>
      <w:r w:rsidR="002D24EC" w:rsidRPr="00860801">
        <w:rPr>
          <w:rFonts w:ascii="Cambria" w:hAnsi="Cambria" w:cs="Tahoma"/>
          <w:color w:val="000000"/>
        </w:rPr>
        <w:fldChar w:fldCharType="end"/>
      </w:r>
      <w:r w:rsidRPr="00860801">
        <w:rPr>
          <w:rFonts w:ascii="Cambria" w:hAnsi="Cambria" w:cs="Tahoma"/>
          <w:color w:val="000000"/>
        </w:rPr>
        <w:t>.</w:t>
      </w:r>
      <w:bookmarkStart w:id="5" w:name="_Toc521384095"/>
      <w:bookmarkEnd w:id="4"/>
    </w:p>
    <w:p w:rsidR="00311D55" w:rsidRPr="00860801" w:rsidRDefault="00F35E8B" w:rsidP="002D24EC">
      <w:pPr>
        <w:spacing w:after="0" w:line="480" w:lineRule="auto"/>
        <w:ind w:firstLine="709"/>
        <w:jc w:val="both"/>
        <w:rPr>
          <w:rFonts w:ascii="Cambria" w:hAnsi="Cambria" w:cs="Tahoma"/>
          <w:color w:val="000000"/>
        </w:rPr>
      </w:pPr>
      <w:r w:rsidRPr="00860801">
        <w:rPr>
          <w:rFonts w:ascii="Cambria" w:hAnsi="Cambria" w:cs="Tahoma"/>
          <w:color w:val="000000"/>
        </w:rPr>
        <w:t xml:space="preserve">The VAR model is an autoregressive form caused by the increase in the lag value of the disturbance of the dependent variable and the error term on the side of the equation. The variables used to analyze </w:t>
      </w:r>
      <w:r w:rsidR="00432944" w:rsidRPr="00860801">
        <w:rPr>
          <w:rFonts w:ascii="Cambria" w:hAnsi="Cambria" w:cs="Tahoma"/>
        </w:rPr>
        <w:t xml:space="preserve">Total Assets, Third Party Funds, Financing Debt Ratio, Net Operating Margin, ERP </w:t>
      </w:r>
      <w:proofErr w:type="spellStart"/>
      <w:r w:rsidR="00432944" w:rsidRPr="00860801">
        <w:rPr>
          <w:rFonts w:ascii="Cambria" w:hAnsi="Cambria" w:cs="Tahoma"/>
        </w:rPr>
        <w:t>Mudharabah</w:t>
      </w:r>
      <w:proofErr w:type="spellEnd"/>
      <w:r w:rsidR="00432944" w:rsidRPr="00860801">
        <w:rPr>
          <w:rFonts w:ascii="Cambria" w:hAnsi="Cambria" w:cs="Tahoma"/>
        </w:rPr>
        <w:t xml:space="preserve">, ERP </w:t>
      </w:r>
      <w:proofErr w:type="spellStart"/>
      <w:r w:rsidR="00432944" w:rsidRPr="00860801">
        <w:rPr>
          <w:rFonts w:ascii="Cambria" w:hAnsi="Cambria" w:cs="Tahoma"/>
        </w:rPr>
        <w:t>Musyarakah</w:t>
      </w:r>
      <w:proofErr w:type="spellEnd"/>
      <w:r w:rsidR="00432944" w:rsidRPr="00860801">
        <w:rPr>
          <w:rFonts w:ascii="Cambria" w:hAnsi="Cambria" w:cs="Tahoma"/>
        </w:rPr>
        <w:t xml:space="preserve">, BI Rate, and Inflation </w:t>
      </w:r>
      <w:r w:rsidRPr="00860801">
        <w:rPr>
          <w:rFonts w:ascii="Cambria" w:hAnsi="Cambria" w:cs="Tahoma"/>
          <w:color w:val="000000"/>
        </w:rPr>
        <w:t>on Islamic Bank Financing. The model formed is as follows:</w:t>
      </w:r>
      <w:bookmarkEnd w:id="5"/>
    </w:p>
    <w:bookmarkStart w:id="6" w:name="_Toc521384096"/>
    <w:p w:rsidR="00511864" w:rsidRPr="00860801" w:rsidRDefault="002A3B4B" w:rsidP="008528A0">
      <w:pPr>
        <w:pStyle w:val="ListParagraph"/>
        <w:spacing w:after="0" w:line="480" w:lineRule="auto"/>
        <w:ind w:left="0" w:firstLine="567"/>
        <w:rPr>
          <w:rFonts w:ascii="Cambria" w:eastAsiaTheme="minorEastAsia" w:hAnsi="Cambria" w:cs="Tahoma"/>
          <w:bCs/>
          <w:iCs/>
        </w:rPr>
      </w:pPr>
      <m:oMath>
        <m:sSub>
          <m:sSubPr>
            <m:ctrlPr>
              <w:rPr>
                <w:rFonts w:ascii="Cambria Math" w:eastAsiaTheme="minorEastAsia" w:hAnsi="Cambria Math" w:cs="Tahoma"/>
                <w:bCs/>
                <w:i/>
                <w:iCs/>
              </w:rPr>
            </m:ctrlPr>
          </m:sSubPr>
          <m:e>
            <m:d>
              <m:dPr>
                <m:begChr m:val="["/>
                <m:endChr m:val="]"/>
                <m:ctrlPr>
                  <w:rPr>
                    <w:rFonts w:ascii="Cambria Math" w:eastAsiaTheme="minorEastAsia" w:hAnsi="Cambria Math" w:cs="Tahoma"/>
                    <w:bCs/>
                    <w:i/>
                    <w:iCs/>
                  </w:rPr>
                </m:ctrlPr>
              </m:dPr>
              <m:e>
                <m:eqArr>
                  <m:eqArrPr>
                    <m:ctrlPr>
                      <w:rPr>
                        <w:rFonts w:ascii="Cambria Math" w:eastAsiaTheme="minorEastAsia" w:hAnsi="Cambria Math" w:cs="Tahoma"/>
                        <w:bCs/>
                        <w:i/>
                        <w:iCs/>
                      </w:rPr>
                    </m:ctrlPr>
                  </m:eqArrPr>
                  <m:e>
                    <m:r>
                      <w:rPr>
                        <w:rFonts w:ascii="Cambria Math" w:eastAsiaTheme="minorEastAsia" w:hAnsi="Cambria Math" w:cs="Tahoma"/>
                      </w:rPr>
                      <m:t>∆TA</m:t>
                    </m:r>
                  </m:e>
                  <m:e>
                    <m:r>
                      <w:rPr>
                        <w:rFonts w:ascii="Cambria Math" w:eastAsiaTheme="minorEastAsia" w:hAnsi="Cambria Math" w:cs="Tahoma"/>
                      </w:rPr>
                      <m:t>∆DPK</m:t>
                    </m:r>
                    <m:ctrlPr>
                      <w:rPr>
                        <w:rFonts w:ascii="Cambria Math" w:eastAsia="Cambria Math" w:hAnsi="Cambria Math" w:cs="Tahoma"/>
                        <w:bCs/>
                        <w:i/>
                        <w:iCs/>
                      </w:rPr>
                    </m:ctrlPr>
                  </m:e>
                  <m:e>
                    <m:r>
                      <w:rPr>
                        <w:rFonts w:ascii="Cambria Math" w:eastAsia="Cambria Math" w:hAnsi="Cambria Math" w:cs="Tahoma"/>
                      </w:rPr>
                      <m:t>∆FDR</m:t>
                    </m:r>
                    <m:ctrlPr>
                      <w:rPr>
                        <w:rFonts w:ascii="Cambria Math" w:eastAsia="Cambria Math" w:hAnsi="Cambria Math" w:cs="Tahoma"/>
                        <w:bCs/>
                        <w:i/>
                        <w:iCs/>
                      </w:rPr>
                    </m:ctrlPr>
                  </m:e>
                  <m:e>
                    <m:r>
                      <w:rPr>
                        <w:rFonts w:ascii="Cambria Math" w:eastAsia="Cambria Math" w:hAnsi="Cambria Math" w:cs="Tahoma"/>
                      </w:rPr>
                      <m:t>∆NOM</m:t>
                    </m:r>
                    <m:ctrlPr>
                      <w:rPr>
                        <w:rFonts w:ascii="Cambria Math" w:eastAsia="Cambria Math" w:hAnsi="Cambria Math" w:cs="Tahoma"/>
                        <w:bCs/>
                        <w:i/>
                        <w:iCs/>
                      </w:rPr>
                    </m:ctrlPr>
                  </m:e>
                  <m:e>
                    <m:r>
                      <w:rPr>
                        <w:rFonts w:ascii="Cambria Math" w:eastAsia="Cambria Math" w:hAnsi="Cambria Math" w:cs="Tahoma"/>
                      </w:rPr>
                      <m:t>∆NPF</m:t>
                    </m:r>
                    <m:ctrlPr>
                      <w:rPr>
                        <w:rFonts w:ascii="Cambria Math" w:eastAsia="Cambria Math" w:hAnsi="Cambria Math" w:cs="Cambria Math"/>
                        <w:i/>
                      </w:rPr>
                    </m:ctrlPr>
                  </m:e>
                  <m:e>
                    <m:r>
                      <w:rPr>
                        <w:rFonts w:ascii="Cambria Math" w:eastAsia="Cambria Math" w:hAnsi="Cambria Math" w:cs="Tahoma"/>
                      </w:rPr>
                      <m:t>∆ROA</m:t>
                    </m:r>
                    <m:ctrlPr>
                      <w:rPr>
                        <w:rFonts w:ascii="Cambria Math" w:eastAsia="Cambria Math" w:hAnsi="Cambria Math" w:cs="Cambria Math"/>
                        <w:i/>
                      </w:rPr>
                    </m:ctrlPr>
                  </m:e>
                  <m:e>
                    <m:r>
                      <w:rPr>
                        <w:rFonts w:ascii="Cambria Math" w:eastAsia="Cambria Math" w:hAnsi="Cambria Math" w:cs="Tahoma"/>
                      </w:rPr>
                      <m:t>∆ERPMudh</m:t>
                    </m:r>
                    <m:ctrlPr>
                      <w:rPr>
                        <w:rFonts w:ascii="Cambria Math" w:eastAsia="Cambria Math" w:hAnsi="Cambria Math" w:cs="Tahoma"/>
                        <w:bCs/>
                        <w:i/>
                        <w:iCs/>
                      </w:rPr>
                    </m:ctrlPr>
                  </m:e>
                  <m:e>
                    <m:r>
                      <w:rPr>
                        <w:rFonts w:ascii="Cambria Math" w:eastAsia="Cambria Math" w:hAnsi="Cambria Math" w:cs="Tahoma"/>
                      </w:rPr>
                      <m:t>∆ERPMusy</m:t>
                    </m:r>
                    <m:ctrlPr>
                      <w:rPr>
                        <w:rFonts w:ascii="Cambria Math" w:eastAsia="Cambria Math" w:hAnsi="Cambria Math" w:cs="Tahoma"/>
                        <w:bCs/>
                        <w:i/>
                        <w:iCs/>
                      </w:rPr>
                    </m:ctrlPr>
                  </m:e>
                  <m:e>
                    <m:r>
                      <w:rPr>
                        <w:rFonts w:ascii="Cambria Math" w:eastAsia="Cambria Math" w:hAnsi="Cambria Math" w:cs="Tahoma"/>
                      </w:rPr>
                      <m:t>∆BIRATE</m:t>
                    </m:r>
                    <m:ctrlPr>
                      <w:rPr>
                        <w:rFonts w:ascii="Cambria Math" w:eastAsia="Cambria Math" w:hAnsi="Cambria Math" w:cs="Tahoma"/>
                        <w:i/>
                      </w:rPr>
                    </m:ctrlPr>
                  </m:e>
                  <m:e>
                    <m:r>
                      <w:rPr>
                        <w:rFonts w:ascii="Cambria Math" w:eastAsia="Cambria Math" w:hAnsi="Cambria Math" w:cs="Tahoma"/>
                      </w:rPr>
                      <m:t>∆INFLASI</m:t>
                    </m:r>
                  </m:e>
                </m:eqArr>
              </m:e>
            </m:d>
          </m:e>
          <m:sub>
            <m:r>
              <w:rPr>
                <w:rFonts w:ascii="Cambria Math" w:eastAsiaTheme="minorEastAsia" w:hAnsi="Cambria Math" w:cs="Tahoma"/>
              </w:rPr>
              <m:t>it</m:t>
            </m:r>
          </m:sub>
        </m:sSub>
      </m:oMath>
      <w:r w:rsidR="00311D55" w:rsidRPr="00860801">
        <w:rPr>
          <w:rFonts w:ascii="Cambria" w:eastAsiaTheme="minorEastAsia" w:hAnsi="Cambria" w:cs="Tahoma"/>
          <w:bCs/>
          <w:iCs/>
        </w:rPr>
        <w:t xml:space="preserve">= </w:t>
      </w:r>
      <m:oMath>
        <m:d>
          <m:dPr>
            <m:begChr m:val="["/>
            <m:endChr m:val="]"/>
            <m:ctrlPr>
              <w:rPr>
                <w:rFonts w:ascii="Cambria Math" w:eastAsiaTheme="minorEastAsia" w:hAnsi="Cambria Math" w:cs="Tahoma"/>
                <w:bCs/>
                <w:i/>
                <w:iCs/>
              </w:rPr>
            </m:ctrlPr>
          </m:dPr>
          <m:e>
            <m:eqArr>
              <m:eqArrPr>
                <m:ctrlPr>
                  <w:rPr>
                    <w:rFonts w:ascii="Cambria Math" w:eastAsiaTheme="minorEastAsia" w:hAnsi="Cambria Math" w:cs="Tahoma"/>
                    <w:bCs/>
                    <w:i/>
                    <w:iCs/>
                  </w:rPr>
                </m:ctrlPr>
              </m:eqArrPr>
              <m:e>
                <m:sSub>
                  <m:sSubPr>
                    <m:ctrlPr>
                      <w:rPr>
                        <w:rFonts w:ascii="Cambria Math" w:eastAsiaTheme="minorEastAsia" w:hAnsi="Cambria Math" w:cs="Tahoma"/>
                        <w:bCs/>
                        <w:i/>
                        <w:iCs/>
                      </w:rPr>
                    </m:ctrlPr>
                  </m:sSubPr>
                  <m:e>
                    <m:r>
                      <w:rPr>
                        <w:rFonts w:ascii="Cambria Math" w:eastAsiaTheme="minorEastAsia" w:hAnsi="Cambria Math" w:cs="Tahoma"/>
                      </w:rPr>
                      <m:t>α</m:t>
                    </m:r>
                  </m:e>
                  <m:sub>
                    <m:r>
                      <w:rPr>
                        <w:rFonts w:ascii="Cambria Math" w:eastAsiaTheme="minorEastAsia" w:hAnsi="Cambria Math" w:cs="Tahoma"/>
                      </w:rPr>
                      <m:t>0</m:t>
                    </m:r>
                  </m:sub>
                </m:sSub>
              </m:e>
              <m:e>
                <m:sSub>
                  <m:sSubPr>
                    <m:ctrlPr>
                      <w:rPr>
                        <w:rFonts w:ascii="Cambria Math" w:eastAsiaTheme="minorEastAsia" w:hAnsi="Cambria Math" w:cs="Tahoma"/>
                        <w:bCs/>
                        <w:i/>
                        <w:iCs/>
                      </w:rPr>
                    </m:ctrlPr>
                  </m:sSubPr>
                  <m:e>
                    <m:r>
                      <w:rPr>
                        <w:rFonts w:ascii="Cambria Math" w:eastAsiaTheme="minorEastAsia" w:hAnsi="Cambria Math" w:cs="Tahoma"/>
                      </w:rPr>
                      <m:t>α</m:t>
                    </m:r>
                  </m:e>
                  <m:sub>
                    <m:r>
                      <w:rPr>
                        <w:rFonts w:ascii="Cambria Math" w:eastAsiaTheme="minorEastAsia" w:hAnsi="Cambria Math" w:cs="Tahoma"/>
                      </w:rPr>
                      <m:t>1</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α</m:t>
                    </m:r>
                  </m:e>
                  <m:sub>
                    <m:r>
                      <w:rPr>
                        <w:rFonts w:ascii="Cambria Math" w:eastAsiaTheme="minorEastAsia" w:hAnsi="Cambria Math" w:cs="Tahoma"/>
                      </w:rPr>
                      <m:t>2</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α</m:t>
                    </m:r>
                  </m:e>
                  <m:sub>
                    <m:r>
                      <w:rPr>
                        <w:rFonts w:ascii="Cambria Math" w:eastAsiaTheme="minorEastAsia" w:hAnsi="Cambria Math" w:cs="Tahoma"/>
                      </w:rPr>
                      <m:t>3</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α</m:t>
                    </m:r>
                  </m:e>
                  <m:sub>
                    <m:r>
                      <w:rPr>
                        <w:rFonts w:ascii="Cambria Math" w:eastAsiaTheme="minorEastAsia" w:hAnsi="Cambria Math" w:cs="Tahoma"/>
                      </w:rPr>
                      <m:t>4</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α</m:t>
                    </m:r>
                  </m:e>
                  <m:sub>
                    <m:r>
                      <w:rPr>
                        <w:rFonts w:ascii="Cambria Math" w:eastAsiaTheme="minorEastAsia" w:hAnsi="Cambria Math" w:cs="Tahoma"/>
                      </w:rPr>
                      <m:t>5</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α</m:t>
                    </m:r>
                  </m:e>
                  <m:sub>
                    <m:r>
                      <w:rPr>
                        <w:rFonts w:ascii="Cambria Math" w:eastAsiaTheme="minorEastAsia" w:hAnsi="Cambria Math" w:cs="Tahoma"/>
                      </w:rPr>
                      <m:t>6</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α</m:t>
                    </m:r>
                  </m:e>
                  <m:sub>
                    <m:r>
                      <w:rPr>
                        <w:rFonts w:ascii="Cambria Math" w:eastAsiaTheme="minorEastAsia" w:hAnsi="Cambria Math" w:cs="Tahoma"/>
                      </w:rPr>
                      <m:t>7</m:t>
                    </m:r>
                  </m:sub>
                </m:sSub>
                <m:ctrlPr>
                  <w:rPr>
                    <w:rFonts w:ascii="Cambria Math" w:eastAsia="Cambria Math" w:hAnsi="Cambria Math" w:cs="Cambria Math"/>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α</m:t>
                    </m:r>
                  </m:e>
                  <m:sub>
                    <m:r>
                      <w:rPr>
                        <w:rFonts w:ascii="Cambria Math" w:eastAsiaTheme="minorEastAsia" w:hAnsi="Cambria Math" w:cs="Tahoma"/>
                      </w:rPr>
                      <m:t>8</m:t>
                    </m:r>
                  </m:sub>
                </m:sSub>
                <m:ctrlPr>
                  <w:rPr>
                    <w:rFonts w:ascii="Cambria Math" w:eastAsia="Cambria Math" w:hAnsi="Cambria Math" w:cs="Cambria Math"/>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α</m:t>
                    </m:r>
                  </m:e>
                  <m:sub>
                    <m:r>
                      <w:rPr>
                        <w:rFonts w:ascii="Cambria Math" w:eastAsiaTheme="minorEastAsia" w:hAnsi="Cambria Math" w:cs="Tahoma"/>
                      </w:rPr>
                      <m:t>9</m:t>
                    </m:r>
                  </m:sub>
                </m:sSub>
              </m:e>
            </m:eqArr>
          </m:e>
        </m:d>
      </m:oMath>
      <w:r w:rsidR="00311D55" w:rsidRPr="00860801">
        <w:rPr>
          <w:rFonts w:ascii="Cambria" w:eastAsiaTheme="minorEastAsia" w:hAnsi="Cambria" w:cs="Tahoma"/>
          <w:bCs/>
          <w:iCs/>
        </w:rPr>
        <w:t xml:space="preserve">+ </w:t>
      </w:r>
      <m:oMath>
        <m:nary>
          <m:naryPr>
            <m:chr m:val="∑"/>
            <m:limLoc m:val="subSup"/>
            <m:ctrlPr>
              <w:rPr>
                <w:rFonts w:ascii="Cambria Math" w:eastAsiaTheme="minorEastAsia" w:hAnsi="Cambria Math" w:cs="Tahoma"/>
                <w:bCs/>
                <w:i/>
                <w:iCs/>
              </w:rPr>
            </m:ctrlPr>
          </m:naryPr>
          <m:sub>
            <m:r>
              <w:rPr>
                <w:rFonts w:ascii="Cambria Math" w:eastAsiaTheme="minorEastAsia" w:hAnsi="Cambria Math" w:cs="Tahoma"/>
              </w:rPr>
              <m:t>t-1</m:t>
            </m:r>
          </m:sub>
          <m:sup>
            <m:r>
              <w:rPr>
                <w:rFonts w:ascii="Cambria Math" w:eastAsiaTheme="minorEastAsia" w:hAnsi="Cambria Math" w:cs="Tahoma"/>
              </w:rPr>
              <m:t>k</m:t>
            </m:r>
          </m:sup>
          <m:e>
            <m:sSub>
              <m:sSubPr>
                <m:ctrlPr>
                  <w:rPr>
                    <w:rFonts w:ascii="Cambria Math" w:eastAsiaTheme="minorEastAsia" w:hAnsi="Cambria Math" w:cs="Tahoma"/>
                    <w:bCs/>
                    <w:i/>
                    <w:iCs/>
                  </w:rPr>
                </m:ctrlPr>
              </m:sSubPr>
              <m:e>
                <m:r>
                  <w:rPr>
                    <w:rFonts w:ascii="Cambria Math" w:eastAsiaTheme="minorEastAsia" w:hAnsi="Cambria Math" w:cs="Tahoma"/>
                  </w:rPr>
                  <m:t>τ</m:t>
                </m:r>
              </m:e>
              <m:sub>
                <m:r>
                  <w:rPr>
                    <w:rFonts w:ascii="Cambria Math" w:eastAsiaTheme="minorEastAsia" w:hAnsi="Cambria Math" w:cs="Tahoma"/>
                  </w:rPr>
                  <m:t>it</m:t>
                </m:r>
              </m:sub>
            </m:sSub>
          </m:e>
        </m:nary>
        <m:sSub>
          <m:sSubPr>
            <m:ctrlPr>
              <w:rPr>
                <w:rFonts w:ascii="Cambria Math" w:eastAsiaTheme="minorEastAsia" w:hAnsi="Cambria Math" w:cs="Tahoma"/>
                <w:bCs/>
                <w:i/>
                <w:iCs/>
              </w:rPr>
            </m:ctrlPr>
          </m:sSubPr>
          <m:e>
            <m:d>
              <m:dPr>
                <m:begChr m:val="["/>
                <m:endChr m:val="]"/>
                <m:ctrlPr>
                  <w:rPr>
                    <w:rFonts w:ascii="Cambria Math" w:eastAsiaTheme="minorEastAsia" w:hAnsi="Cambria Math" w:cs="Tahoma"/>
                    <w:bCs/>
                    <w:i/>
                    <w:iCs/>
                  </w:rPr>
                </m:ctrlPr>
              </m:dPr>
              <m:e>
                <m:eqArr>
                  <m:eqArrPr>
                    <m:ctrlPr>
                      <w:rPr>
                        <w:rFonts w:ascii="Cambria Math" w:eastAsiaTheme="minorEastAsia" w:hAnsi="Cambria Math" w:cs="Tahoma"/>
                        <w:bCs/>
                        <w:i/>
                        <w:iCs/>
                      </w:rPr>
                    </m:ctrlPr>
                  </m:eqArrPr>
                  <m:e>
                    <m:r>
                      <w:rPr>
                        <w:rFonts w:ascii="Cambria Math" w:eastAsiaTheme="minorEastAsia" w:hAnsi="Cambria Math" w:cs="Tahoma"/>
                      </w:rPr>
                      <m:t>∆TA</m:t>
                    </m:r>
                  </m:e>
                  <m:e>
                    <m:r>
                      <w:rPr>
                        <w:rFonts w:ascii="Cambria Math" w:eastAsiaTheme="minorEastAsia" w:hAnsi="Cambria Math" w:cs="Tahoma"/>
                      </w:rPr>
                      <m:t>∆DPK</m:t>
                    </m:r>
                    <m:ctrlPr>
                      <w:rPr>
                        <w:rFonts w:ascii="Cambria Math" w:eastAsia="Cambria Math" w:hAnsi="Cambria Math" w:cs="Tahoma"/>
                        <w:bCs/>
                        <w:i/>
                        <w:iCs/>
                      </w:rPr>
                    </m:ctrlPr>
                  </m:e>
                  <m:e>
                    <m:r>
                      <w:rPr>
                        <w:rFonts w:ascii="Cambria Math" w:eastAsia="Cambria Math" w:hAnsi="Cambria Math" w:cs="Tahoma"/>
                      </w:rPr>
                      <m:t>∆FDR</m:t>
                    </m:r>
                    <m:ctrlPr>
                      <w:rPr>
                        <w:rFonts w:ascii="Cambria Math" w:eastAsia="Cambria Math" w:hAnsi="Cambria Math" w:cs="Tahoma"/>
                        <w:bCs/>
                        <w:i/>
                        <w:iCs/>
                      </w:rPr>
                    </m:ctrlPr>
                  </m:e>
                  <m:e>
                    <m:r>
                      <w:rPr>
                        <w:rFonts w:ascii="Cambria Math" w:eastAsia="Cambria Math" w:hAnsi="Cambria Math" w:cs="Tahoma"/>
                      </w:rPr>
                      <m:t>∆NOM</m:t>
                    </m:r>
                    <m:ctrlPr>
                      <w:rPr>
                        <w:rFonts w:ascii="Cambria Math" w:eastAsia="Cambria Math" w:hAnsi="Cambria Math" w:cs="Tahoma"/>
                        <w:bCs/>
                        <w:i/>
                        <w:iCs/>
                      </w:rPr>
                    </m:ctrlPr>
                  </m:e>
                  <m:e>
                    <m:r>
                      <w:rPr>
                        <w:rFonts w:ascii="Cambria Math" w:eastAsia="Cambria Math" w:hAnsi="Cambria Math" w:cs="Tahoma"/>
                      </w:rPr>
                      <m:t>∆NPF</m:t>
                    </m:r>
                    <m:ctrlPr>
                      <w:rPr>
                        <w:rFonts w:ascii="Cambria Math" w:eastAsia="Cambria Math" w:hAnsi="Cambria Math" w:cs="Cambria Math"/>
                        <w:i/>
                      </w:rPr>
                    </m:ctrlPr>
                  </m:e>
                  <m:e>
                    <m:r>
                      <w:rPr>
                        <w:rFonts w:ascii="Cambria Math" w:eastAsia="Cambria Math" w:hAnsi="Cambria Math" w:cs="Tahoma"/>
                      </w:rPr>
                      <m:t>∆ROA</m:t>
                    </m:r>
                    <m:ctrlPr>
                      <w:rPr>
                        <w:rFonts w:ascii="Cambria Math" w:eastAsia="Cambria Math" w:hAnsi="Cambria Math" w:cs="Cambria Math"/>
                        <w:i/>
                      </w:rPr>
                    </m:ctrlPr>
                  </m:e>
                  <m:e>
                    <m:r>
                      <w:rPr>
                        <w:rFonts w:ascii="Cambria Math" w:eastAsia="Cambria Math" w:hAnsi="Cambria Math" w:cs="Tahoma"/>
                      </w:rPr>
                      <m:t>∆ERPMudh</m:t>
                    </m:r>
                    <m:ctrlPr>
                      <w:rPr>
                        <w:rFonts w:ascii="Cambria Math" w:eastAsia="Cambria Math" w:hAnsi="Cambria Math" w:cs="Tahoma"/>
                        <w:bCs/>
                        <w:i/>
                        <w:iCs/>
                      </w:rPr>
                    </m:ctrlPr>
                  </m:e>
                  <m:e>
                    <m:r>
                      <w:rPr>
                        <w:rFonts w:ascii="Cambria Math" w:eastAsia="Cambria Math" w:hAnsi="Cambria Math" w:cs="Tahoma"/>
                      </w:rPr>
                      <m:t>∆ERPMusy</m:t>
                    </m:r>
                    <m:ctrlPr>
                      <w:rPr>
                        <w:rFonts w:ascii="Cambria Math" w:eastAsia="Cambria Math" w:hAnsi="Cambria Math" w:cs="Tahoma"/>
                        <w:bCs/>
                        <w:i/>
                        <w:iCs/>
                      </w:rPr>
                    </m:ctrlPr>
                  </m:e>
                  <m:e>
                    <m:r>
                      <w:rPr>
                        <w:rFonts w:ascii="Cambria Math" w:eastAsia="Cambria Math" w:hAnsi="Cambria Math" w:cs="Tahoma"/>
                      </w:rPr>
                      <m:t>∆BIRATE</m:t>
                    </m:r>
                    <m:ctrlPr>
                      <w:rPr>
                        <w:rFonts w:ascii="Cambria Math" w:eastAsia="Cambria Math" w:hAnsi="Cambria Math" w:cs="Tahoma"/>
                        <w:i/>
                      </w:rPr>
                    </m:ctrlPr>
                  </m:e>
                  <m:e>
                    <m:r>
                      <w:rPr>
                        <w:rFonts w:ascii="Cambria Math" w:eastAsia="Cambria Math" w:hAnsi="Cambria Math" w:cs="Tahoma"/>
                      </w:rPr>
                      <m:t>∆INFLASI</m:t>
                    </m:r>
                  </m:e>
                </m:eqArr>
              </m:e>
            </m:d>
          </m:e>
          <m:sub>
            <m:r>
              <w:rPr>
                <w:rFonts w:ascii="Cambria Math" w:eastAsiaTheme="minorEastAsia" w:hAnsi="Cambria Math" w:cs="Tahoma"/>
              </w:rPr>
              <m:t>it</m:t>
            </m:r>
          </m:sub>
        </m:sSub>
      </m:oMath>
      <w:r w:rsidR="00311D55" w:rsidRPr="00860801">
        <w:rPr>
          <w:rFonts w:ascii="Cambria" w:eastAsiaTheme="minorEastAsia" w:hAnsi="Cambria" w:cs="Tahoma"/>
          <w:bCs/>
          <w:iCs/>
        </w:rPr>
        <w:t xml:space="preserve">+ π </w:t>
      </w:r>
      <m:oMath>
        <m:sSub>
          <m:sSubPr>
            <m:ctrlPr>
              <w:rPr>
                <w:rFonts w:ascii="Cambria Math" w:eastAsiaTheme="minorEastAsia" w:hAnsi="Cambria Math" w:cs="Tahoma"/>
                <w:bCs/>
                <w:i/>
                <w:iCs/>
              </w:rPr>
            </m:ctrlPr>
          </m:sSubPr>
          <m:e>
            <m:eqArr>
              <m:eqArrPr>
                <m:ctrlPr>
                  <w:rPr>
                    <w:rFonts w:ascii="Cambria Math" w:eastAsiaTheme="minorEastAsia" w:hAnsi="Cambria Math" w:cs="Tahoma"/>
                    <w:bCs/>
                    <w:i/>
                    <w:iCs/>
                  </w:rPr>
                </m:ctrlPr>
              </m:eqArrPr>
              <m:e>
                <m:d>
                  <m:dPr>
                    <m:begChr m:val="["/>
                    <m:endChr m:val="]"/>
                    <m:ctrlPr>
                      <w:rPr>
                        <w:rFonts w:ascii="Cambria Math" w:eastAsiaTheme="minorEastAsia" w:hAnsi="Cambria Math" w:cs="Tahoma"/>
                        <w:bCs/>
                        <w:i/>
                        <w:iCs/>
                      </w:rPr>
                    </m:ctrlPr>
                  </m:dPr>
                  <m:e>
                    <m:eqArr>
                      <m:eqArrPr>
                        <m:ctrlPr>
                          <w:rPr>
                            <w:rFonts w:ascii="Cambria Math" w:eastAsiaTheme="minorEastAsia" w:hAnsi="Cambria Math" w:cs="Tahoma"/>
                            <w:bCs/>
                            <w:i/>
                            <w:iCs/>
                          </w:rPr>
                        </m:ctrlPr>
                      </m:eqArrPr>
                      <m:e>
                        <m:r>
                          <w:rPr>
                            <w:rFonts w:ascii="Cambria Math" w:eastAsiaTheme="minorEastAsia" w:hAnsi="Cambria Math" w:cs="Tahoma"/>
                          </w:rPr>
                          <m:t>TA</m:t>
                        </m:r>
                      </m:e>
                      <m:e>
                        <m:r>
                          <w:rPr>
                            <w:rFonts w:ascii="Cambria Math" w:eastAsiaTheme="minorEastAsia" w:hAnsi="Cambria Math" w:cs="Tahoma"/>
                          </w:rPr>
                          <m:t>DPK</m:t>
                        </m:r>
                        <m:ctrlPr>
                          <w:rPr>
                            <w:rFonts w:ascii="Cambria Math" w:eastAsia="Cambria Math" w:hAnsi="Cambria Math" w:cs="Tahoma"/>
                            <w:bCs/>
                            <w:i/>
                            <w:iCs/>
                          </w:rPr>
                        </m:ctrlPr>
                      </m:e>
                      <m:e>
                        <m:r>
                          <w:rPr>
                            <w:rFonts w:ascii="Cambria Math" w:eastAsia="Cambria Math" w:hAnsi="Cambria Math" w:cs="Tahoma"/>
                          </w:rPr>
                          <m:t>FDR</m:t>
                        </m:r>
                        <m:ctrlPr>
                          <w:rPr>
                            <w:rFonts w:ascii="Cambria Math" w:eastAsia="Cambria Math" w:hAnsi="Cambria Math" w:cs="Tahoma"/>
                            <w:bCs/>
                            <w:i/>
                            <w:iCs/>
                          </w:rPr>
                        </m:ctrlPr>
                      </m:e>
                      <m:e>
                        <m:r>
                          <w:rPr>
                            <w:rFonts w:ascii="Cambria Math" w:eastAsia="Cambria Math" w:hAnsi="Cambria Math" w:cs="Tahoma"/>
                          </w:rPr>
                          <m:t>NOM</m:t>
                        </m:r>
                        <m:ctrlPr>
                          <w:rPr>
                            <w:rFonts w:ascii="Cambria Math" w:eastAsia="Cambria Math" w:hAnsi="Cambria Math" w:cs="Tahoma"/>
                            <w:bCs/>
                            <w:i/>
                            <w:iCs/>
                          </w:rPr>
                        </m:ctrlPr>
                      </m:e>
                      <m:e>
                        <m:r>
                          <w:rPr>
                            <w:rFonts w:ascii="Cambria Math" w:eastAsia="Cambria Math" w:hAnsi="Cambria Math" w:cs="Tahoma"/>
                          </w:rPr>
                          <m:t>NPF</m:t>
                        </m:r>
                        <m:ctrlPr>
                          <w:rPr>
                            <w:rFonts w:ascii="Cambria Math" w:eastAsia="Cambria Math" w:hAnsi="Cambria Math" w:cs="Cambria Math"/>
                            <w:i/>
                          </w:rPr>
                        </m:ctrlPr>
                      </m:e>
                      <m:e>
                        <m:r>
                          <w:rPr>
                            <w:rFonts w:ascii="Cambria Math" w:eastAsia="Cambria Math" w:hAnsi="Cambria Math" w:cs="Cambria Math"/>
                          </w:rPr>
                          <m:t>ROA</m:t>
                        </m:r>
                        <m:ctrlPr>
                          <w:rPr>
                            <w:rFonts w:ascii="Cambria Math" w:eastAsia="Cambria Math" w:hAnsi="Cambria Math" w:cs="Cambria Math"/>
                            <w:i/>
                          </w:rPr>
                        </m:ctrlPr>
                      </m:e>
                      <m:e>
                        <m:r>
                          <w:rPr>
                            <w:rFonts w:ascii="Cambria Math" w:eastAsia="Cambria Math" w:hAnsi="Cambria Math" w:cs="Tahoma"/>
                          </w:rPr>
                          <m:t>ERPMudh</m:t>
                        </m:r>
                        <m:ctrlPr>
                          <w:rPr>
                            <w:rFonts w:ascii="Cambria Math" w:eastAsia="Cambria Math" w:hAnsi="Cambria Math" w:cs="Tahoma"/>
                            <w:bCs/>
                            <w:i/>
                            <w:iCs/>
                          </w:rPr>
                        </m:ctrlPr>
                      </m:e>
                      <m:e>
                        <m:r>
                          <w:rPr>
                            <w:rFonts w:ascii="Cambria Math" w:eastAsia="Cambria Math" w:hAnsi="Cambria Math" w:cs="Tahoma"/>
                          </w:rPr>
                          <m:t>ERPMusy</m:t>
                        </m:r>
                        <m:ctrlPr>
                          <w:rPr>
                            <w:rFonts w:ascii="Cambria Math" w:eastAsia="Cambria Math" w:hAnsi="Cambria Math" w:cs="Tahoma"/>
                            <w:bCs/>
                            <w:i/>
                            <w:iCs/>
                          </w:rPr>
                        </m:ctrlPr>
                      </m:e>
                      <m:e>
                        <m:r>
                          <w:rPr>
                            <w:rFonts w:ascii="Cambria Math" w:eastAsia="Cambria Math" w:hAnsi="Cambria Math" w:cs="Tahoma"/>
                          </w:rPr>
                          <m:t>BIRATE</m:t>
                        </m:r>
                        <m:ctrlPr>
                          <w:rPr>
                            <w:rFonts w:ascii="Cambria Math" w:eastAsia="Cambria Math" w:hAnsi="Cambria Math" w:cs="Tahoma"/>
                            <w:i/>
                          </w:rPr>
                        </m:ctrlPr>
                      </m:e>
                      <m:e>
                        <m:r>
                          <w:rPr>
                            <w:rFonts w:ascii="Cambria Math" w:eastAsiaTheme="minorEastAsia" w:hAnsi="Cambria Math" w:cs="Tahoma"/>
                          </w:rPr>
                          <m:t>INFLASI</m:t>
                        </m:r>
                      </m:e>
                    </m:eqArr>
                  </m:e>
                </m:d>
              </m:e>
            </m:eqArr>
          </m:e>
          <m:sub>
            <m:r>
              <w:rPr>
                <w:rFonts w:ascii="Cambria Math" w:eastAsiaTheme="minorEastAsia" w:hAnsi="Cambria Math" w:cs="Tahoma"/>
              </w:rPr>
              <m:t>it-1</m:t>
            </m:r>
          </m:sub>
        </m:sSub>
      </m:oMath>
      <w:r w:rsidR="00311D55" w:rsidRPr="00860801">
        <w:rPr>
          <w:rFonts w:ascii="Cambria" w:eastAsiaTheme="minorEastAsia" w:hAnsi="Cambria" w:cs="Tahoma"/>
          <w:bCs/>
          <w:iCs/>
        </w:rPr>
        <w:t>+</w:t>
      </w:r>
      <m:oMath>
        <m:d>
          <m:dPr>
            <m:begChr m:val="["/>
            <m:endChr m:val="]"/>
            <m:ctrlPr>
              <w:rPr>
                <w:rFonts w:ascii="Cambria Math" w:eastAsiaTheme="minorEastAsia" w:hAnsi="Cambria Math" w:cs="Tahoma"/>
                <w:bCs/>
                <w:i/>
                <w:iCs/>
              </w:rPr>
            </m:ctrlPr>
          </m:dPr>
          <m:e>
            <m:eqArr>
              <m:eqArrPr>
                <m:ctrlPr>
                  <w:rPr>
                    <w:rFonts w:ascii="Cambria Math" w:eastAsiaTheme="minorEastAsia" w:hAnsi="Cambria Math" w:cs="Tahoma"/>
                    <w:bCs/>
                    <w:i/>
                    <w:iCs/>
                  </w:rPr>
                </m:ctrlPr>
              </m:eqArrPr>
              <m:e>
                <m:sSub>
                  <m:sSubPr>
                    <m:ctrlPr>
                      <w:rPr>
                        <w:rFonts w:ascii="Cambria Math" w:eastAsiaTheme="minorEastAsia" w:hAnsi="Cambria Math" w:cs="Tahoma"/>
                        <w:bCs/>
                        <w:i/>
                        <w:iCs/>
                      </w:rPr>
                    </m:ctrlPr>
                  </m:sSubPr>
                  <m:e>
                    <m:r>
                      <w:rPr>
                        <w:rFonts w:ascii="Cambria Math" w:eastAsiaTheme="minorEastAsia" w:hAnsi="Cambria Math" w:cs="Tahoma"/>
                      </w:rPr>
                      <m:t>v</m:t>
                    </m:r>
                  </m:e>
                  <m:sub>
                    <m:r>
                      <w:rPr>
                        <w:rFonts w:ascii="Cambria Math" w:eastAsiaTheme="minorEastAsia" w:hAnsi="Cambria Math" w:cs="Tahoma"/>
                      </w:rPr>
                      <m:t>0</m:t>
                    </m:r>
                  </m:sub>
                </m:sSub>
              </m:e>
              <m:e>
                <m:sSub>
                  <m:sSubPr>
                    <m:ctrlPr>
                      <w:rPr>
                        <w:rFonts w:ascii="Cambria Math" w:eastAsiaTheme="minorEastAsia" w:hAnsi="Cambria Math" w:cs="Tahoma"/>
                        <w:bCs/>
                        <w:i/>
                        <w:iCs/>
                      </w:rPr>
                    </m:ctrlPr>
                  </m:sSubPr>
                  <m:e>
                    <m:r>
                      <w:rPr>
                        <w:rFonts w:ascii="Cambria Math" w:eastAsiaTheme="minorEastAsia" w:hAnsi="Cambria Math" w:cs="Tahoma"/>
                      </w:rPr>
                      <m:t>v</m:t>
                    </m:r>
                  </m:e>
                  <m:sub>
                    <m:r>
                      <w:rPr>
                        <w:rFonts w:ascii="Cambria Math" w:eastAsiaTheme="minorEastAsia" w:hAnsi="Cambria Math" w:cs="Tahoma"/>
                      </w:rPr>
                      <m:t>1</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v</m:t>
                    </m:r>
                  </m:e>
                  <m:sub>
                    <m:r>
                      <w:rPr>
                        <w:rFonts w:ascii="Cambria Math" w:eastAsiaTheme="minorEastAsia" w:hAnsi="Cambria Math" w:cs="Tahoma"/>
                      </w:rPr>
                      <m:t>2</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v</m:t>
                    </m:r>
                  </m:e>
                  <m:sub>
                    <m:r>
                      <w:rPr>
                        <w:rFonts w:ascii="Cambria Math" w:eastAsiaTheme="minorEastAsia" w:hAnsi="Cambria Math" w:cs="Tahoma"/>
                      </w:rPr>
                      <m:t>3</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v</m:t>
                    </m:r>
                  </m:e>
                  <m:sub>
                    <m:r>
                      <w:rPr>
                        <w:rFonts w:ascii="Cambria Math" w:eastAsiaTheme="minorEastAsia" w:hAnsi="Cambria Math" w:cs="Tahoma"/>
                      </w:rPr>
                      <m:t>4</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v</m:t>
                    </m:r>
                  </m:e>
                  <m:sub>
                    <m:r>
                      <w:rPr>
                        <w:rFonts w:ascii="Cambria Math" w:eastAsiaTheme="minorEastAsia" w:hAnsi="Cambria Math" w:cs="Tahoma"/>
                      </w:rPr>
                      <m:t>5</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v</m:t>
                    </m:r>
                  </m:e>
                  <m:sub>
                    <m:r>
                      <w:rPr>
                        <w:rFonts w:ascii="Cambria Math" w:eastAsiaTheme="minorEastAsia" w:hAnsi="Cambria Math" w:cs="Tahoma"/>
                      </w:rPr>
                      <m:t>6</m:t>
                    </m:r>
                  </m:sub>
                </m:sSub>
                <m:ctrlPr>
                  <w:rPr>
                    <w:rFonts w:ascii="Cambria Math" w:eastAsia="Cambria Math" w:hAnsi="Cambria Math" w:cs="Tahoma"/>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v</m:t>
                    </m:r>
                  </m:e>
                  <m:sub>
                    <m:r>
                      <w:rPr>
                        <w:rFonts w:ascii="Cambria Math" w:eastAsiaTheme="minorEastAsia" w:hAnsi="Cambria Math" w:cs="Tahoma"/>
                      </w:rPr>
                      <m:t>7</m:t>
                    </m:r>
                  </m:sub>
                </m:sSub>
                <m:ctrlPr>
                  <w:rPr>
                    <w:rFonts w:ascii="Cambria Math" w:eastAsia="Cambria Math" w:hAnsi="Cambria Math" w:cs="Cambria Math"/>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v</m:t>
                    </m:r>
                  </m:e>
                  <m:sub>
                    <m:r>
                      <w:rPr>
                        <w:rFonts w:ascii="Cambria Math" w:eastAsiaTheme="minorEastAsia" w:hAnsi="Cambria Math" w:cs="Tahoma"/>
                      </w:rPr>
                      <m:t>8</m:t>
                    </m:r>
                  </m:sub>
                </m:sSub>
                <m:ctrlPr>
                  <w:rPr>
                    <w:rFonts w:ascii="Cambria Math" w:eastAsia="Cambria Math" w:hAnsi="Cambria Math" w:cs="Cambria Math"/>
                    <w:bCs/>
                    <w:i/>
                    <w:iCs/>
                  </w:rPr>
                </m:ctrlPr>
              </m:e>
              <m:e>
                <m:sSub>
                  <m:sSubPr>
                    <m:ctrlPr>
                      <w:rPr>
                        <w:rFonts w:ascii="Cambria Math" w:eastAsiaTheme="minorEastAsia" w:hAnsi="Cambria Math" w:cs="Tahoma"/>
                        <w:bCs/>
                        <w:i/>
                        <w:iCs/>
                      </w:rPr>
                    </m:ctrlPr>
                  </m:sSubPr>
                  <m:e>
                    <m:r>
                      <w:rPr>
                        <w:rFonts w:ascii="Cambria Math" w:eastAsiaTheme="minorEastAsia" w:hAnsi="Cambria Math" w:cs="Tahoma"/>
                      </w:rPr>
                      <m:t>v</m:t>
                    </m:r>
                  </m:e>
                  <m:sub>
                    <m:r>
                      <w:rPr>
                        <w:rFonts w:ascii="Cambria Math" w:eastAsiaTheme="minorEastAsia" w:hAnsi="Cambria Math" w:cs="Tahoma"/>
                      </w:rPr>
                      <m:t>9</m:t>
                    </m:r>
                  </m:sub>
                </m:sSub>
              </m:e>
            </m:eqArr>
          </m:e>
        </m:d>
      </m:oMath>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7100"/>
      </w:tblGrid>
      <w:tr w:rsidR="006C0232" w:rsidRPr="00002900" w:rsidTr="00F97264">
        <w:trPr>
          <w:trHeight w:val="413"/>
        </w:trPr>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bookmarkStart w:id="7" w:name="_Toc521384098"/>
            <w:r w:rsidRPr="00002900">
              <w:rPr>
                <w:rFonts w:ascii="Cambria" w:eastAsiaTheme="minorEastAsia" w:hAnsi="Cambria" w:cs="Tahoma"/>
                <w:bCs/>
                <w:iCs/>
                <w:sz w:val="24"/>
                <w:szCs w:val="24"/>
              </w:rPr>
              <w:t xml:space="preserve">α </w:t>
            </w:r>
            <w:r w:rsidRPr="00002900">
              <w:rPr>
                <w:rFonts w:ascii="Cambria" w:eastAsiaTheme="minorEastAsia" w:hAnsi="Cambria" w:cs="Tahoma"/>
                <w:bCs/>
                <w:iCs/>
                <w:sz w:val="24"/>
                <w:szCs w:val="24"/>
                <w:vertAlign w:val="subscript"/>
              </w:rPr>
              <w:t>0</w:t>
            </w:r>
            <w:r w:rsidRPr="00002900">
              <w:rPr>
                <w:rFonts w:ascii="Cambria" w:eastAsiaTheme="minorEastAsia" w:hAnsi="Cambria" w:cs="Tahoma"/>
                <w:bCs/>
                <w:iCs/>
                <w:sz w:val="24"/>
                <w:szCs w:val="24"/>
              </w:rPr>
              <w:t xml:space="preserve"> </w:t>
            </w:r>
            <w:bookmarkEnd w:id="7"/>
          </w:p>
        </w:tc>
        <w:tc>
          <w:tcPr>
            <w:tcW w:w="7176"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intercept</w:t>
            </w:r>
          </w:p>
        </w:tc>
      </w:tr>
      <w:tr w:rsidR="006C0232" w:rsidRPr="00002900" w:rsidTr="00F97264">
        <w:tc>
          <w:tcPr>
            <w:tcW w:w="1319" w:type="dxa"/>
          </w:tcPr>
          <w:p w:rsidR="00511864" w:rsidRPr="00002900" w:rsidRDefault="00F35E8B" w:rsidP="0069468B">
            <w:pPr>
              <w:pStyle w:val="ListParagraph"/>
              <w:ind w:left="0"/>
              <w:jc w:val="both"/>
              <w:rPr>
                <w:rFonts w:ascii="Cambria" w:eastAsiaTheme="minorEastAsia" w:hAnsi="Cambria" w:cs="Tahoma"/>
                <w:bCs/>
                <w:iCs/>
                <w:sz w:val="24"/>
                <w:szCs w:val="24"/>
              </w:rPr>
            </w:pPr>
            <w:bookmarkStart w:id="8" w:name="_Toc521384099"/>
            <w:r w:rsidRPr="00002900">
              <w:rPr>
                <w:rFonts w:ascii="Cambria" w:eastAsiaTheme="minorEastAsia" w:hAnsi="Cambria" w:cs="Tahoma"/>
                <w:bCs/>
                <w:iCs/>
                <w:sz w:val="24"/>
                <w:szCs w:val="24"/>
              </w:rPr>
              <w:t xml:space="preserve">α </w:t>
            </w:r>
            <w:r w:rsidRPr="00002900">
              <w:rPr>
                <w:rFonts w:ascii="Cambria" w:eastAsiaTheme="minorEastAsia" w:hAnsi="Cambria" w:cs="Tahoma"/>
                <w:bCs/>
                <w:iCs/>
                <w:sz w:val="24"/>
                <w:szCs w:val="24"/>
                <w:vertAlign w:val="subscript"/>
              </w:rPr>
              <w:t xml:space="preserve">1 </w:t>
            </w:r>
            <w:r w:rsidRPr="00002900">
              <w:rPr>
                <w:rFonts w:ascii="Cambria" w:eastAsiaTheme="minorEastAsia" w:hAnsi="Cambria" w:cs="Tahoma"/>
                <w:bCs/>
                <w:iCs/>
                <w:sz w:val="24"/>
                <w:szCs w:val="24"/>
              </w:rPr>
              <w:t xml:space="preserve">- α </w:t>
            </w:r>
            <w:r w:rsidR="0069468B" w:rsidRPr="00002900">
              <w:rPr>
                <w:rFonts w:ascii="Cambria" w:eastAsiaTheme="minorEastAsia" w:hAnsi="Cambria" w:cs="Tahoma"/>
                <w:bCs/>
                <w:iCs/>
                <w:sz w:val="24"/>
                <w:szCs w:val="24"/>
                <w:vertAlign w:val="subscript"/>
              </w:rPr>
              <w:t>7</w:t>
            </w:r>
            <w:bookmarkEnd w:id="8"/>
            <w:r w:rsidR="00FB5407" w:rsidRPr="00002900">
              <w:rPr>
                <w:rFonts w:ascii="Cambria" w:eastAsiaTheme="minorEastAsia" w:hAnsi="Cambria" w:cs="Tahoma"/>
                <w:bCs/>
                <w:iCs/>
                <w:sz w:val="24"/>
                <w:szCs w:val="24"/>
                <w:vertAlign w:val="subscript"/>
              </w:rPr>
              <w:t xml:space="preserve">          </w:t>
            </w:r>
          </w:p>
        </w:tc>
        <w:tc>
          <w:tcPr>
            <w:tcW w:w="7176"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Variable coefficient</w:t>
            </w:r>
          </w:p>
        </w:tc>
      </w:tr>
      <w:tr w:rsidR="006C0232" w:rsidRPr="00002900" w:rsidTr="00F97264">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bookmarkStart w:id="9" w:name="_Toc521384100"/>
            <w:r w:rsidRPr="00002900">
              <w:rPr>
                <w:rFonts w:ascii="Cambria" w:eastAsiaTheme="minorEastAsia" w:hAnsi="Cambria" w:cs="Tahoma"/>
                <w:bCs/>
                <w:iCs/>
                <w:sz w:val="24"/>
                <w:szCs w:val="24"/>
              </w:rPr>
              <w:t xml:space="preserve">TA </w:t>
            </w:r>
            <w:r w:rsidRPr="00002900">
              <w:rPr>
                <w:rFonts w:ascii="Cambria" w:eastAsiaTheme="minorEastAsia" w:hAnsi="Cambria" w:cs="Tahoma"/>
                <w:bCs/>
                <w:iCs/>
                <w:sz w:val="24"/>
                <w:szCs w:val="24"/>
                <w:vertAlign w:val="subscript"/>
              </w:rPr>
              <w:t>it</w:t>
            </w:r>
            <w:r w:rsidRPr="00002900">
              <w:rPr>
                <w:rFonts w:ascii="Cambria" w:eastAsiaTheme="minorEastAsia" w:hAnsi="Cambria" w:cs="Tahoma"/>
                <w:bCs/>
                <w:iCs/>
                <w:sz w:val="24"/>
                <w:szCs w:val="24"/>
              </w:rPr>
              <w:t xml:space="preserve"> </w:t>
            </w:r>
            <w:bookmarkStart w:id="10" w:name="_Toc521384101"/>
            <w:bookmarkEnd w:id="9"/>
            <w:r w:rsidRPr="00002900">
              <w:rPr>
                <w:rFonts w:ascii="Cambria" w:eastAsiaTheme="minorEastAsia" w:hAnsi="Cambria" w:cs="Tahoma"/>
                <w:bCs/>
                <w:iCs/>
                <w:sz w:val="24"/>
                <w:szCs w:val="24"/>
              </w:rPr>
              <w:tab/>
            </w:r>
            <w:bookmarkEnd w:id="10"/>
          </w:p>
        </w:tc>
        <w:tc>
          <w:tcPr>
            <w:tcW w:w="7176"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Total Assets of Islamic Banking </w:t>
            </w:r>
            <w:proofErr w:type="spellStart"/>
            <w:r w:rsidRPr="00002900">
              <w:rPr>
                <w:rFonts w:ascii="Cambria" w:eastAsiaTheme="minorEastAsia" w:hAnsi="Cambria" w:cs="Tahoma"/>
                <w:bCs/>
                <w:iCs/>
                <w:sz w:val="24"/>
                <w:szCs w:val="24"/>
              </w:rPr>
              <w:t>i</w:t>
            </w:r>
            <w:proofErr w:type="spellEnd"/>
            <w:r w:rsidRPr="00002900">
              <w:rPr>
                <w:rFonts w:ascii="Cambria" w:eastAsiaTheme="minorEastAsia" w:hAnsi="Cambria" w:cs="Tahoma"/>
                <w:bCs/>
                <w:iCs/>
                <w:sz w:val="24"/>
                <w:szCs w:val="24"/>
              </w:rPr>
              <w:t xml:space="preserve"> in year t</w:t>
            </w:r>
          </w:p>
        </w:tc>
      </w:tr>
      <w:tr w:rsidR="006C0232" w:rsidRPr="00002900" w:rsidTr="00F97264">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DPK </w:t>
            </w:r>
            <w:r w:rsidRPr="00002900">
              <w:rPr>
                <w:rFonts w:ascii="Cambria" w:eastAsiaTheme="minorEastAsia" w:hAnsi="Cambria" w:cs="Tahoma"/>
                <w:bCs/>
                <w:iCs/>
                <w:sz w:val="24"/>
                <w:szCs w:val="24"/>
                <w:vertAlign w:val="subscript"/>
              </w:rPr>
              <w:t>it</w:t>
            </w:r>
            <w:r w:rsidRPr="00002900">
              <w:rPr>
                <w:rFonts w:ascii="Cambria" w:eastAsiaTheme="minorEastAsia" w:hAnsi="Cambria" w:cs="Tahoma"/>
                <w:bCs/>
                <w:iCs/>
                <w:sz w:val="24"/>
                <w:szCs w:val="24"/>
              </w:rPr>
              <w:tab/>
            </w:r>
          </w:p>
        </w:tc>
        <w:tc>
          <w:tcPr>
            <w:tcW w:w="7176"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Sharia Banking Third Party Funds </w:t>
            </w:r>
            <w:proofErr w:type="spellStart"/>
            <w:r w:rsidRPr="00002900">
              <w:rPr>
                <w:rFonts w:ascii="Cambria" w:eastAsiaTheme="minorEastAsia" w:hAnsi="Cambria" w:cs="Tahoma"/>
                <w:bCs/>
                <w:iCs/>
                <w:sz w:val="24"/>
                <w:szCs w:val="24"/>
              </w:rPr>
              <w:t>i</w:t>
            </w:r>
            <w:proofErr w:type="spellEnd"/>
            <w:r w:rsidRPr="00002900">
              <w:rPr>
                <w:rFonts w:ascii="Cambria" w:eastAsiaTheme="minorEastAsia" w:hAnsi="Cambria" w:cs="Tahoma"/>
                <w:bCs/>
                <w:iCs/>
                <w:sz w:val="24"/>
                <w:szCs w:val="24"/>
              </w:rPr>
              <w:t xml:space="preserve"> in year t</w:t>
            </w:r>
          </w:p>
        </w:tc>
      </w:tr>
      <w:tr w:rsidR="006C0232" w:rsidRPr="00002900" w:rsidTr="00F97264">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bookmarkStart w:id="11" w:name="_Toc521384102"/>
            <w:r w:rsidRPr="00002900">
              <w:rPr>
                <w:rFonts w:ascii="Cambria" w:eastAsiaTheme="minorEastAsia" w:hAnsi="Cambria" w:cs="Tahoma"/>
                <w:bCs/>
                <w:iCs/>
                <w:sz w:val="24"/>
                <w:szCs w:val="24"/>
              </w:rPr>
              <w:t xml:space="preserve">FDR </w:t>
            </w:r>
            <w:r w:rsidRPr="00002900">
              <w:rPr>
                <w:rFonts w:ascii="Cambria" w:eastAsiaTheme="minorEastAsia" w:hAnsi="Cambria" w:cs="Tahoma"/>
                <w:bCs/>
                <w:iCs/>
                <w:sz w:val="24"/>
                <w:szCs w:val="24"/>
                <w:vertAlign w:val="subscript"/>
              </w:rPr>
              <w:t>it</w:t>
            </w:r>
            <w:r w:rsidRPr="00002900">
              <w:rPr>
                <w:rFonts w:ascii="Cambria" w:eastAsiaTheme="minorEastAsia" w:hAnsi="Cambria" w:cs="Tahoma"/>
                <w:bCs/>
                <w:iCs/>
                <w:sz w:val="24"/>
                <w:szCs w:val="24"/>
              </w:rPr>
              <w:t xml:space="preserve"> </w:t>
            </w:r>
            <w:bookmarkEnd w:id="11"/>
          </w:p>
        </w:tc>
        <w:tc>
          <w:tcPr>
            <w:tcW w:w="7176"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Sharia Banking Financing Debt Ratio </w:t>
            </w:r>
            <w:proofErr w:type="spellStart"/>
            <w:r w:rsidRPr="00002900">
              <w:rPr>
                <w:rFonts w:ascii="Cambria" w:eastAsiaTheme="minorEastAsia" w:hAnsi="Cambria" w:cs="Tahoma"/>
                <w:bCs/>
                <w:iCs/>
                <w:sz w:val="24"/>
                <w:szCs w:val="24"/>
              </w:rPr>
              <w:t>i</w:t>
            </w:r>
            <w:proofErr w:type="spellEnd"/>
            <w:r w:rsidRPr="00002900">
              <w:rPr>
                <w:rFonts w:ascii="Cambria" w:eastAsiaTheme="minorEastAsia" w:hAnsi="Cambria" w:cs="Tahoma"/>
                <w:bCs/>
                <w:iCs/>
                <w:sz w:val="24"/>
                <w:szCs w:val="24"/>
              </w:rPr>
              <w:t xml:space="preserve"> in year t</w:t>
            </w:r>
          </w:p>
        </w:tc>
      </w:tr>
      <w:tr w:rsidR="006C0232" w:rsidRPr="00002900" w:rsidTr="00F97264">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bookmarkStart w:id="12" w:name="_Toc521384103"/>
            <w:r w:rsidRPr="00002900">
              <w:rPr>
                <w:rFonts w:ascii="Cambria" w:eastAsiaTheme="minorEastAsia" w:hAnsi="Cambria" w:cs="Tahoma"/>
                <w:bCs/>
                <w:iCs/>
                <w:sz w:val="24"/>
                <w:szCs w:val="24"/>
              </w:rPr>
              <w:t xml:space="preserve">NOM </w:t>
            </w:r>
            <w:r w:rsidRPr="00002900">
              <w:rPr>
                <w:rFonts w:ascii="Cambria" w:eastAsiaTheme="minorEastAsia" w:hAnsi="Cambria" w:cs="Tahoma"/>
                <w:bCs/>
                <w:iCs/>
                <w:sz w:val="24"/>
                <w:szCs w:val="24"/>
                <w:vertAlign w:val="subscript"/>
              </w:rPr>
              <w:t>it</w:t>
            </w:r>
            <w:bookmarkEnd w:id="12"/>
          </w:p>
        </w:tc>
        <w:tc>
          <w:tcPr>
            <w:tcW w:w="7176" w:type="dxa"/>
          </w:tcPr>
          <w:p w:rsidR="007C777D"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Sharia Banking Net Operating Margin </w:t>
            </w:r>
            <w:proofErr w:type="spellStart"/>
            <w:r w:rsidRPr="00002900">
              <w:rPr>
                <w:rFonts w:ascii="Cambria" w:eastAsiaTheme="minorEastAsia" w:hAnsi="Cambria" w:cs="Tahoma"/>
                <w:bCs/>
                <w:iCs/>
                <w:sz w:val="24"/>
                <w:szCs w:val="24"/>
              </w:rPr>
              <w:t>i</w:t>
            </w:r>
            <w:proofErr w:type="spellEnd"/>
            <w:r w:rsidRPr="00002900">
              <w:rPr>
                <w:rFonts w:ascii="Cambria" w:eastAsiaTheme="minorEastAsia" w:hAnsi="Cambria" w:cs="Tahoma"/>
                <w:bCs/>
                <w:iCs/>
                <w:sz w:val="24"/>
                <w:szCs w:val="24"/>
              </w:rPr>
              <w:t xml:space="preserve"> in year t</w:t>
            </w:r>
          </w:p>
        </w:tc>
      </w:tr>
      <w:tr w:rsidR="006C0232" w:rsidRPr="00002900" w:rsidTr="00F97264">
        <w:tc>
          <w:tcPr>
            <w:tcW w:w="1319" w:type="dxa"/>
          </w:tcPr>
          <w:p w:rsidR="007C777D"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NPF </w:t>
            </w:r>
            <w:r w:rsidRPr="00002900">
              <w:rPr>
                <w:rFonts w:ascii="Cambria" w:eastAsiaTheme="minorEastAsia" w:hAnsi="Cambria" w:cs="Tahoma"/>
                <w:bCs/>
                <w:iCs/>
                <w:sz w:val="24"/>
                <w:szCs w:val="24"/>
                <w:vertAlign w:val="subscript"/>
              </w:rPr>
              <w:t>it</w:t>
            </w:r>
          </w:p>
        </w:tc>
        <w:tc>
          <w:tcPr>
            <w:tcW w:w="7176" w:type="dxa"/>
          </w:tcPr>
          <w:p w:rsidR="007C777D"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Non Performing Financing </w:t>
            </w:r>
            <w:proofErr w:type="spellStart"/>
            <w:r w:rsidRPr="00002900">
              <w:rPr>
                <w:rFonts w:ascii="Cambria" w:eastAsiaTheme="minorEastAsia" w:hAnsi="Cambria" w:cs="Tahoma"/>
                <w:bCs/>
                <w:iCs/>
                <w:sz w:val="24"/>
                <w:szCs w:val="24"/>
              </w:rPr>
              <w:t>i</w:t>
            </w:r>
            <w:proofErr w:type="spellEnd"/>
            <w:r w:rsidRPr="00002900">
              <w:rPr>
                <w:rFonts w:ascii="Cambria" w:eastAsiaTheme="minorEastAsia" w:hAnsi="Cambria" w:cs="Tahoma"/>
                <w:bCs/>
                <w:iCs/>
                <w:sz w:val="24"/>
                <w:szCs w:val="24"/>
              </w:rPr>
              <w:t xml:space="preserve"> in year t</w:t>
            </w:r>
          </w:p>
        </w:tc>
      </w:tr>
      <w:tr w:rsidR="006C0232" w:rsidRPr="00002900" w:rsidTr="00F97264">
        <w:tc>
          <w:tcPr>
            <w:tcW w:w="1319" w:type="dxa"/>
          </w:tcPr>
          <w:p w:rsidR="007C777D"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ROA </w:t>
            </w:r>
            <w:r w:rsidRPr="00002900">
              <w:rPr>
                <w:rFonts w:ascii="Cambria" w:eastAsiaTheme="minorEastAsia" w:hAnsi="Cambria" w:cs="Tahoma"/>
                <w:bCs/>
                <w:iCs/>
                <w:sz w:val="24"/>
                <w:szCs w:val="24"/>
                <w:vertAlign w:val="subscript"/>
              </w:rPr>
              <w:t>it</w:t>
            </w:r>
          </w:p>
        </w:tc>
        <w:tc>
          <w:tcPr>
            <w:tcW w:w="7176" w:type="dxa"/>
          </w:tcPr>
          <w:p w:rsidR="007C777D"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Return on Asset </w:t>
            </w:r>
            <w:proofErr w:type="spellStart"/>
            <w:r w:rsidRPr="00002900">
              <w:rPr>
                <w:rFonts w:ascii="Cambria" w:eastAsiaTheme="minorEastAsia" w:hAnsi="Cambria" w:cs="Tahoma"/>
                <w:bCs/>
                <w:iCs/>
                <w:sz w:val="24"/>
                <w:szCs w:val="24"/>
              </w:rPr>
              <w:t>i</w:t>
            </w:r>
            <w:proofErr w:type="spellEnd"/>
            <w:r w:rsidRPr="00002900">
              <w:rPr>
                <w:rFonts w:ascii="Cambria" w:eastAsiaTheme="minorEastAsia" w:hAnsi="Cambria" w:cs="Tahoma"/>
                <w:bCs/>
                <w:iCs/>
                <w:sz w:val="24"/>
                <w:szCs w:val="24"/>
              </w:rPr>
              <w:t xml:space="preserve"> in year t</w:t>
            </w:r>
          </w:p>
        </w:tc>
      </w:tr>
      <w:tr w:rsidR="006C0232" w:rsidRPr="00002900" w:rsidTr="00F97264">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proofErr w:type="spellStart"/>
            <w:r w:rsidRPr="00002900">
              <w:rPr>
                <w:rFonts w:ascii="Cambria" w:eastAsiaTheme="minorEastAsia" w:hAnsi="Cambria" w:cs="Tahoma"/>
                <w:bCs/>
                <w:iCs/>
                <w:sz w:val="24"/>
                <w:szCs w:val="24"/>
              </w:rPr>
              <w:t>ERPMudh</w:t>
            </w:r>
            <w:proofErr w:type="spellEnd"/>
            <w:r w:rsidRPr="00002900">
              <w:rPr>
                <w:rFonts w:ascii="Cambria" w:eastAsiaTheme="minorEastAsia" w:hAnsi="Cambria" w:cs="Tahoma"/>
                <w:bCs/>
                <w:iCs/>
                <w:sz w:val="24"/>
                <w:szCs w:val="24"/>
              </w:rPr>
              <w:t xml:space="preserve"> </w:t>
            </w:r>
            <w:r w:rsidRPr="00002900">
              <w:rPr>
                <w:rFonts w:ascii="Cambria" w:eastAsiaTheme="minorEastAsia" w:hAnsi="Cambria" w:cs="Tahoma"/>
                <w:bCs/>
                <w:iCs/>
                <w:sz w:val="24"/>
                <w:szCs w:val="24"/>
                <w:vertAlign w:val="subscript"/>
              </w:rPr>
              <w:t>it</w:t>
            </w:r>
          </w:p>
        </w:tc>
        <w:tc>
          <w:tcPr>
            <w:tcW w:w="7176"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Equivalent Rate of Sharia Banking </w:t>
            </w:r>
            <w:proofErr w:type="spellStart"/>
            <w:r w:rsidRPr="00002900">
              <w:rPr>
                <w:rFonts w:ascii="Cambria" w:eastAsiaTheme="minorEastAsia" w:hAnsi="Cambria" w:cs="Tahoma"/>
                <w:bCs/>
                <w:iCs/>
                <w:sz w:val="24"/>
                <w:szCs w:val="24"/>
              </w:rPr>
              <w:t>Mudharabah</w:t>
            </w:r>
            <w:proofErr w:type="spellEnd"/>
            <w:r w:rsidRPr="00002900">
              <w:rPr>
                <w:rFonts w:ascii="Cambria" w:eastAsiaTheme="minorEastAsia" w:hAnsi="Cambria" w:cs="Tahoma"/>
                <w:bCs/>
                <w:iCs/>
                <w:sz w:val="24"/>
                <w:szCs w:val="24"/>
              </w:rPr>
              <w:t xml:space="preserve"> Financing </w:t>
            </w:r>
            <w:proofErr w:type="spellStart"/>
            <w:r w:rsidRPr="00002900">
              <w:rPr>
                <w:rFonts w:ascii="Cambria" w:eastAsiaTheme="minorEastAsia" w:hAnsi="Cambria" w:cs="Tahoma"/>
                <w:bCs/>
                <w:iCs/>
                <w:sz w:val="24"/>
                <w:szCs w:val="24"/>
              </w:rPr>
              <w:t>i</w:t>
            </w:r>
            <w:proofErr w:type="spellEnd"/>
            <w:r w:rsidRPr="00002900">
              <w:rPr>
                <w:rFonts w:ascii="Cambria" w:eastAsiaTheme="minorEastAsia" w:hAnsi="Cambria" w:cs="Tahoma"/>
                <w:bCs/>
                <w:iCs/>
                <w:sz w:val="24"/>
                <w:szCs w:val="24"/>
              </w:rPr>
              <w:t xml:space="preserve"> in year t</w:t>
            </w:r>
          </w:p>
        </w:tc>
      </w:tr>
      <w:tr w:rsidR="006C0232" w:rsidRPr="00002900" w:rsidTr="00F97264">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proofErr w:type="spellStart"/>
            <w:r w:rsidRPr="00002900">
              <w:rPr>
                <w:rFonts w:ascii="Cambria" w:eastAsiaTheme="minorEastAsia" w:hAnsi="Cambria" w:cs="Tahoma"/>
                <w:bCs/>
                <w:iCs/>
                <w:sz w:val="24"/>
                <w:szCs w:val="24"/>
              </w:rPr>
              <w:t>ERPMusy</w:t>
            </w:r>
            <w:proofErr w:type="spellEnd"/>
            <w:r w:rsidRPr="00002900">
              <w:rPr>
                <w:rFonts w:ascii="Cambria" w:eastAsiaTheme="minorEastAsia" w:hAnsi="Cambria" w:cs="Tahoma"/>
                <w:bCs/>
                <w:iCs/>
                <w:sz w:val="24"/>
                <w:szCs w:val="24"/>
              </w:rPr>
              <w:t xml:space="preserve"> </w:t>
            </w:r>
            <w:r w:rsidRPr="00002900">
              <w:rPr>
                <w:rFonts w:ascii="Cambria" w:eastAsiaTheme="minorEastAsia" w:hAnsi="Cambria" w:cs="Tahoma"/>
                <w:bCs/>
                <w:iCs/>
                <w:sz w:val="24"/>
                <w:szCs w:val="24"/>
                <w:vertAlign w:val="subscript"/>
              </w:rPr>
              <w:t>it</w:t>
            </w:r>
          </w:p>
        </w:tc>
        <w:tc>
          <w:tcPr>
            <w:tcW w:w="7176"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Equivalent Rate of Sharia Banking </w:t>
            </w:r>
            <w:proofErr w:type="spellStart"/>
            <w:r w:rsidRPr="00002900">
              <w:rPr>
                <w:rFonts w:ascii="Cambria" w:eastAsiaTheme="minorEastAsia" w:hAnsi="Cambria" w:cs="Tahoma"/>
                <w:bCs/>
                <w:iCs/>
                <w:sz w:val="24"/>
                <w:szCs w:val="24"/>
              </w:rPr>
              <w:t>Musyarakah</w:t>
            </w:r>
            <w:proofErr w:type="spellEnd"/>
            <w:r w:rsidRPr="00002900">
              <w:rPr>
                <w:rFonts w:ascii="Cambria" w:eastAsiaTheme="minorEastAsia" w:hAnsi="Cambria" w:cs="Tahoma"/>
                <w:bCs/>
                <w:iCs/>
                <w:sz w:val="24"/>
                <w:szCs w:val="24"/>
              </w:rPr>
              <w:t xml:space="preserve"> Financing </w:t>
            </w:r>
            <w:proofErr w:type="spellStart"/>
            <w:r w:rsidRPr="00002900">
              <w:rPr>
                <w:rFonts w:ascii="Cambria" w:eastAsiaTheme="minorEastAsia" w:hAnsi="Cambria" w:cs="Tahoma"/>
                <w:bCs/>
                <w:iCs/>
                <w:sz w:val="24"/>
                <w:szCs w:val="24"/>
              </w:rPr>
              <w:t>i</w:t>
            </w:r>
            <w:proofErr w:type="spellEnd"/>
            <w:r w:rsidRPr="00002900">
              <w:rPr>
                <w:rFonts w:ascii="Cambria" w:eastAsiaTheme="minorEastAsia" w:hAnsi="Cambria" w:cs="Tahoma"/>
                <w:bCs/>
                <w:iCs/>
                <w:sz w:val="24"/>
                <w:szCs w:val="24"/>
              </w:rPr>
              <w:t xml:space="preserve"> in year t</w:t>
            </w:r>
          </w:p>
        </w:tc>
      </w:tr>
      <w:tr w:rsidR="006C0232" w:rsidRPr="00002900" w:rsidTr="00F97264">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BIRATE </w:t>
            </w:r>
            <w:r w:rsidRPr="00002900">
              <w:rPr>
                <w:rFonts w:ascii="Cambria" w:eastAsiaTheme="minorEastAsia" w:hAnsi="Cambria" w:cs="Tahoma"/>
                <w:bCs/>
                <w:iCs/>
                <w:sz w:val="24"/>
                <w:szCs w:val="24"/>
                <w:vertAlign w:val="subscript"/>
              </w:rPr>
              <w:t>it</w:t>
            </w:r>
          </w:p>
        </w:tc>
        <w:tc>
          <w:tcPr>
            <w:tcW w:w="7176"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
                <w:sz w:val="24"/>
                <w:szCs w:val="24"/>
              </w:rPr>
              <w:t xml:space="preserve">BI Rate </w:t>
            </w:r>
            <w:proofErr w:type="spellStart"/>
            <w:r w:rsidRPr="00002900">
              <w:rPr>
                <w:rFonts w:ascii="Cambria" w:eastAsiaTheme="minorEastAsia" w:hAnsi="Cambria" w:cs="Tahoma"/>
                <w:bCs/>
                <w:iCs/>
                <w:sz w:val="24"/>
                <w:szCs w:val="24"/>
              </w:rPr>
              <w:t>i</w:t>
            </w:r>
            <w:proofErr w:type="spellEnd"/>
            <w:r w:rsidRPr="00002900">
              <w:rPr>
                <w:rFonts w:ascii="Cambria" w:eastAsiaTheme="minorEastAsia" w:hAnsi="Cambria" w:cs="Tahoma"/>
                <w:bCs/>
                <w:iCs/>
                <w:sz w:val="24"/>
                <w:szCs w:val="24"/>
              </w:rPr>
              <w:t xml:space="preserve"> in year t</w:t>
            </w:r>
          </w:p>
        </w:tc>
      </w:tr>
      <w:tr w:rsidR="006C0232" w:rsidRPr="00002900" w:rsidTr="00F97264">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INFLATION</w:t>
            </w:r>
          </w:p>
        </w:tc>
        <w:tc>
          <w:tcPr>
            <w:tcW w:w="7176"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Sharia Banking Inflation </w:t>
            </w:r>
            <w:proofErr w:type="spellStart"/>
            <w:r w:rsidRPr="00002900">
              <w:rPr>
                <w:rFonts w:ascii="Cambria" w:eastAsiaTheme="minorEastAsia" w:hAnsi="Cambria" w:cs="Tahoma"/>
                <w:bCs/>
                <w:iCs/>
                <w:sz w:val="24"/>
                <w:szCs w:val="24"/>
              </w:rPr>
              <w:t>i</w:t>
            </w:r>
            <w:proofErr w:type="spellEnd"/>
            <w:r w:rsidRPr="00002900">
              <w:rPr>
                <w:rFonts w:ascii="Cambria" w:eastAsiaTheme="minorEastAsia" w:hAnsi="Cambria" w:cs="Tahoma"/>
                <w:bCs/>
                <w:iCs/>
                <w:sz w:val="24"/>
                <w:szCs w:val="24"/>
              </w:rPr>
              <w:t xml:space="preserve"> in year t</w:t>
            </w:r>
          </w:p>
        </w:tc>
      </w:tr>
      <w:tr w:rsidR="006C0232" w:rsidRPr="00002900" w:rsidTr="00F97264">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 xml:space="preserve">v </w:t>
            </w:r>
            <w:r w:rsidRPr="00002900">
              <w:rPr>
                <w:rFonts w:ascii="Cambria" w:eastAsiaTheme="minorEastAsia" w:hAnsi="Cambria" w:cs="Tahoma"/>
                <w:bCs/>
                <w:iCs/>
                <w:sz w:val="24"/>
                <w:szCs w:val="24"/>
                <w:vertAlign w:val="subscript"/>
              </w:rPr>
              <w:t xml:space="preserve">0 </w:t>
            </w:r>
            <w:r w:rsidRPr="00002900">
              <w:rPr>
                <w:rFonts w:ascii="Cambria" w:eastAsiaTheme="minorEastAsia" w:hAnsi="Cambria" w:cs="Tahoma"/>
                <w:bCs/>
                <w:iCs/>
                <w:sz w:val="24"/>
                <w:szCs w:val="24"/>
              </w:rPr>
              <w:t xml:space="preserve">-v </w:t>
            </w:r>
            <w:r w:rsidRPr="00002900">
              <w:rPr>
                <w:rFonts w:ascii="Cambria" w:eastAsiaTheme="minorEastAsia" w:hAnsi="Cambria" w:cs="Tahoma"/>
                <w:bCs/>
                <w:iCs/>
                <w:sz w:val="24"/>
                <w:szCs w:val="24"/>
                <w:vertAlign w:val="subscript"/>
              </w:rPr>
              <w:t>7</w:t>
            </w:r>
          </w:p>
        </w:tc>
        <w:tc>
          <w:tcPr>
            <w:tcW w:w="7176" w:type="dxa"/>
          </w:tcPr>
          <w:p w:rsidR="00511864" w:rsidRPr="00002900" w:rsidRDefault="00F35E8B" w:rsidP="00511864">
            <w:pPr>
              <w:pStyle w:val="ListParagraph"/>
              <w:ind w:left="0"/>
              <w:jc w:val="both"/>
              <w:rPr>
                <w:rFonts w:ascii="Cambria" w:eastAsiaTheme="minorEastAsia" w:hAnsi="Cambria" w:cs="Tahoma"/>
                <w:bCs/>
                <w:i/>
                <w:sz w:val="24"/>
                <w:szCs w:val="24"/>
              </w:rPr>
            </w:pPr>
            <w:bookmarkStart w:id="13" w:name="_Toc521384107"/>
            <w:r w:rsidRPr="00002900">
              <w:rPr>
                <w:rFonts w:ascii="Cambria" w:eastAsiaTheme="minorEastAsia" w:hAnsi="Cambria" w:cs="Tahoma"/>
                <w:bCs/>
                <w:i/>
                <w:sz w:val="24"/>
                <w:szCs w:val="24"/>
              </w:rPr>
              <w:t>Error term</w:t>
            </w:r>
            <w:bookmarkEnd w:id="13"/>
          </w:p>
        </w:tc>
      </w:tr>
      <w:tr w:rsidR="006C0232" w:rsidRPr="00002900" w:rsidTr="00F97264">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t</w:t>
            </w:r>
          </w:p>
        </w:tc>
        <w:tc>
          <w:tcPr>
            <w:tcW w:w="7176"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The year 2019-2022</w:t>
            </w:r>
          </w:p>
        </w:tc>
      </w:tr>
      <w:tr w:rsidR="006C0232" w:rsidRPr="00002900" w:rsidTr="00F97264">
        <w:tc>
          <w:tcPr>
            <w:tcW w:w="1319" w:type="dxa"/>
          </w:tcPr>
          <w:p w:rsidR="00511864" w:rsidRPr="00002900" w:rsidRDefault="00F35E8B" w:rsidP="00511864">
            <w:pPr>
              <w:pStyle w:val="ListParagraph"/>
              <w:ind w:left="0"/>
              <w:jc w:val="both"/>
              <w:rPr>
                <w:rFonts w:ascii="Cambria" w:eastAsiaTheme="minorEastAsia" w:hAnsi="Cambria" w:cs="Tahoma"/>
                <w:bCs/>
                <w:iCs/>
                <w:sz w:val="24"/>
                <w:szCs w:val="24"/>
              </w:rPr>
            </w:pPr>
            <w:bookmarkStart w:id="14" w:name="_Toc521384109"/>
            <w:proofErr w:type="spellStart"/>
            <w:r w:rsidRPr="00002900">
              <w:rPr>
                <w:rFonts w:ascii="Cambria" w:eastAsiaTheme="minorEastAsia" w:hAnsi="Cambria" w:cs="Tahoma"/>
                <w:bCs/>
                <w:iCs/>
                <w:sz w:val="24"/>
                <w:szCs w:val="24"/>
              </w:rPr>
              <w:t>i</w:t>
            </w:r>
            <w:proofErr w:type="spellEnd"/>
            <w:r w:rsidRPr="00002900">
              <w:rPr>
                <w:rFonts w:ascii="Cambria" w:eastAsiaTheme="minorEastAsia" w:hAnsi="Cambria" w:cs="Tahoma"/>
                <w:bCs/>
                <w:iCs/>
                <w:sz w:val="24"/>
                <w:szCs w:val="24"/>
              </w:rPr>
              <w:tab/>
            </w:r>
            <w:r w:rsidRPr="00002900">
              <w:rPr>
                <w:rFonts w:ascii="Cambria" w:eastAsiaTheme="minorEastAsia" w:hAnsi="Cambria" w:cs="Tahoma"/>
                <w:bCs/>
                <w:iCs/>
                <w:sz w:val="24"/>
                <w:szCs w:val="24"/>
              </w:rPr>
              <w:tab/>
            </w:r>
            <w:bookmarkEnd w:id="14"/>
          </w:p>
        </w:tc>
        <w:tc>
          <w:tcPr>
            <w:tcW w:w="7176" w:type="dxa"/>
          </w:tcPr>
          <w:p w:rsidR="00511864" w:rsidRPr="00002900" w:rsidRDefault="00F35E8B" w:rsidP="00511864">
            <w:pPr>
              <w:pStyle w:val="ListParagraph"/>
              <w:ind w:left="0"/>
              <w:jc w:val="both"/>
              <w:rPr>
                <w:rFonts w:ascii="Cambria" w:eastAsiaTheme="minorEastAsia" w:hAnsi="Cambria" w:cs="Tahoma"/>
                <w:bCs/>
                <w:iCs/>
                <w:sz w:val="24"/>
                <w:szCs w:val="24"/>
              </w:rPr>
            </w:pPr>
            <w:r w:rsidRPr="00002900">
              <w:rPr>
                <w:rFonts w:ascii="Cambria" w:eastAsiaTheme="minorEastAsia" w:hAnsi="Cambria" w:cs="Tahoma"/>
                <w:bCs/>
                <w:iCs/>
                <w:sz w:val="24"/>
                <w:szCs w:val="24"/>
              </w:rPr>
              <w:t>BUS, UUS, and BPRS</w:t>
            </w:r>
          </w:p>
        </w:tc>
      </w:tr>
    </w:tbl>
    <w:p w:rsidR="00FB5407" w:rsidRPr="00860801" w:rsidRDefault="00FB5407" w:rsidP="00F76F59">
      <w:pPr>
        <w:spacing w:after="0" w:line="360" w:lineRule="auto"/>
        <w:jc w:val="both"/>
        <w:rPr>
          <w:rFonts w:ascii="Cambria" w:eastAsiaTheme="minorEastAsia" w:hAnsi="Cambria" w:cs="Tahoma"/>
          <w:bCs/>
          <w:iCs/>
        </w:rPr>
      </w:pPr>
    </w:p>
    <w:p w:rsidR="00D44358" w:rsidRPr="00860801" w:rsidRDefault="00F35E8B" w:rsidP="00F76F59">
      <w:pPr>
        <w:spacing w:after="0" w:line="360" w:lineRule="auto"/>
        <w:jc w:val="both"/>
        <w:rPr>
          <w:rFonts w:ascii="Cambria" w:hAnsi="Cambria" w:cs="Tahoma"/>
        </w:rPr>
      </w:pPr>
      <w:r w:rsidRPr="00860801">
        <w:rPr>
          <w:rFonts w:ascii="Cambria" w:hAnsi="Cambria" w:cs="Tahoma"/>
        </w:rPr>
        <w:t>The VECM test stages are as follows:</w:t>
      </w:r>
    </w:p>
    <w:p w:rsidR="00F76F59" w:rsidRPr="00860801" w:rsidRDefault="00F35E8B" w:rsidP="00F76F59">
      <w:pPr>
        <w:pStyle w:val="ListParagraph"/>
        <w:numPr>
          <w:ilvl w:val="0"/>
          <w:numId w:val="3"/>
        </w:numPr>
        <w:spacing w:after="0" w:line="360" w:lineRule="auto"/>
        <w:ind w:left="426"/>
        <w:jc w:val="both"/>
        <w:rPr>
          <w:rFonts w:ascii="Cambria" w:hAnsi="Cambria" w:cs="Tahoma"/>
        </w:rPr>
      </w:pPr>
      <w:r w:rsidRPr="00860801">
        <w:rPr>
          <w:rFonts w:ascii="Cambria" w:hAnsi="Cambria" w:cs="Tahoma"/>
        </w:rPr>
        <w:t>Stationary Test Data</w:t>
      </w:r>
    </w:p>
    <w:p w:rsidR="00D44358" w:rsidRPr="00860801" w:rsidRDefault="00F35E8B" w:rsidP="002D5886">
      <w:pPr>
        <w:pStyle w:val="ListParagraph"/>
        <w:spacing w:after="0" w:line="360" w:lineRule="auto"/>
        <w:ind w:left="426" w:firstLine="567"/>
        <w:jc w:val="both"/>
        <w:rPr>
          <w:rFonts w:ascii="Cambria" w:hAnsi="Cambria" w:cs="Tahoma"/>
        </w:rPr>
      </w:pPr>
      <w:r w:rsidRPr="00860801">
        <w:rPr>
          <w:rFonts w:ascii="Cambria" w:hAnsi="Cambria" w:cs="Tahoma"/>
        </w:rPr>
        <w:t xml:space="preserve">The unit root test is a concept that has recently become increasingly popular for use in testing the </w:t>
      </w:r>
      <w:proofErr w:type="spellStart"/>
      <w:r w:rsidRPr="00860801">
        <w:rPr>
          <w:rFonts w:ascii="Cambria" w:hAnsi="Cambria" w:cs="Tahoma"/>
        </w:rPr>
        <w:t>stationarity</w:t>
      </w:r>
      <w:proofErr w:type="spellEnd"/>
      <w:r w:rsidRPr="00860801">
        <w:rPr>
          <w:rFonts w:ascii="Cambria" w:hAnsi="Cambria" w:cs="Tahoma"/>
        </w:rPr>
        <w:t xml:space="preserve"> of time series data using the Augmented Dickey-Fuller test (ADF) using a level of significance (1, 5, 10 percent).</w:t>
      </w:r>
    </w:p>
    <w:p w:rsidR="00D8285C" w:rsidRPr="00860801" w:rsidRDefault="00F35E8B" w:rsidP="00F76F59">
      <w:pPr>
        <w:pStyle w:val="ListParagraph"/>
        <w:spacing w:after="0" w:line="360" w:lineRule="auto"/>
        <w:ind w:left="0" w:firstLine="426"/>
        <w:jc w:val="both"/>
        <w:rPr>
          <w:rFonts w:ascii="Cambria" w:hAnsi="Cambria" w:cs="Tahoma"/>
        </w:rPr>
      </w:pPr>
      <w:proofErr w:type="spellStart"/>
      <w:r w:rsidRPr="00860801">
        <w:rPr>
          <w:rFonts w:ascii="Cambria" w:hAnsi="Cambria" w:cs="Tahoma"/>
        </w:rPr>
        <w:t>Stationarity</w:t>
      </w:r>
      <w:proofErr w:type="spellEnd"/>
      <w:r w:rsidRPr="00860801">
        <w:rPr>
          <w:rFonts w:ascii="Cambria" w:hAnsi="Cambria" w:cs="Tahoma"/>
        </w:rPr>
        <w:t xml:space="preserve"> test equation with ADF analysis:</w:t>
      </w:r>
    </w:p>
    <w:p w:rsidR="00D8285C" w:rsidRPr="00860801" w:rsidRDefault="00F35E8B" w:rsidP="00F76F59">
      <w:pPr>
        <w:pStyle w:val="ListParagraph"/>
        <w:spacing w:after="0" w:line="360" w:lineRule="auto"/>
        <w:ind w:left="0" w:firstLine="426"/>
        <w:jc w:val="both"/>
        <w:rPr>
          <w:rFonts w:ascii="Cambria" w:hAnsi="Cambria" w:cs="Tahoma"/>
        </w:rPr>
      </w:pPr>
      <w:r w:rsidRPr="00860801">
        <w:rPr>
          <w:rFonts w:ascii="Cambria" w:hAnsi="Cambria" w:cs="Tahoma"/>
        </w:rPr>
        <w:t>∆Y = α0 + γYt-1 + β</w:t>
      </w:r>
      <w:proofErr w:type="spellStart"/>
      <w:r w:rsidRPr="00860801">
        <w:rPr>
          <w:rFonts w:ascii="Cambria" w:hAnsi="Cambria" w:cs="Tahoma"/>
        </w:rPr>
        <w:t>i</w:t>
      </w:r>
      <w:proofErr w:type="spellEnd"/>
      <w:r w:rsidRPr="00860801">
        <w:rPr>
          <w:rFonts w:ascii="Cambria" w:hAnsi="Cambria" w:cs="Tahoma"/>
        </w:rPr>
        <w:t xml:space="preserve"> ∑ </w:t>
      </w:r>
      <w:r w:rsidRPr="00860801">
        <w:rPr>
          <w:rFonts w:ascii="Cambria" w:hAnsi="Cambria" w:cs="Times New Roman"/>
        </w:rPr>
        <w:t xml:space="preserve">ᴾ </w:t>
      </w:r>
      <w:proofErr w:type="spellStart"/>
      <w:r w:rsidRPr="00860801">
        <w:rPr>
          <w:rFonts w:ascii="Cambria" w:hAnsi="Cambria" w:cs="Tahoma"/>
        </w:rPr>
        <w:t>i</w:t>
      </w:r>
      <w:proofErr w:type="spellEnd"/>
      <w:r w:rsidRPr="00860801">
        <w:rPr>
          <w:rFonts w:ascii="Cambria" w:hAnsi="Cambria" w:cs="Tahoma"/>
        </w:rPr>
        <w:t xml:space="preserve"> ∆Yt-i+1 + </w:t>
      </w:r>
      <m:oMath>
        <m:r>
          <w:rPr>
            <w:rFonts w:ascii="Cambria Math" w:hAnsi="Cambria Math" w:cs="Tahoma"/>
          </w:rPr>
          <m:t>ε</m:t>
        </m:r>
      </m:oMath>
      <w:r w:rsidRPr="00860801">
        <w:rPr>
          <w:rFonts w:ascii="Cambria" w:hAnsi="Cambria" w:cs="Tahoma"/>
        </w:rPr>
        <w:t xml:space="preserve">i </w:t>
      </w:r>
      <w:proofErr w:type="gramStart"/>
      <w:r w:rsidRPr="00860801">
        <w:rPr>
          <w:rFonts w:ascii="Cambria" w:hAnsi="Cambria" w:cs="Tahoma"/>
        </w:rPr>
        <w:t>............................ ....</w:t>
      </w:r>
      <w:proofErr w:type="gramEnd"/>
    </w:p>
    <w:p w:rsidR="00D8285C" w:rsidRPr="00860801" w:rsidRDefault="00F35E8B" w:rsidP="00F76F59">
      <w:pPr>
        <w:pStyle w:val="ListParagraph"/>
        <w:spacing w:after="0" w:line="360" w:lineRule="auto"/>
        <w:ind w:left="0" w:firstLine="426"/>
        <w:jc w:val="both"/>
        <w:rPr>
          <w:rFonts w:ascii="Cambria" w:hAnsi="Cambria" w:cs="Tahoma"/>
        </w:rPr>
      </w:pPr>
      <w:proofErr w:type="gramStart"/>
      <w:r w:rsidRPr="00860801">
        <w:rPr>
          <w:rFonts w:ascii="Cambria" w:hAnsi="Cambria" w:cs="Tahoma"/>
        </w:rPr>
        <w:t>Where :</w:t>
      </w:r>
      <w:proofErr w:type="gramEnd"/>
    </w:p>
    <w:p w:rsidR="00D8285C" w:rsidRPr="00860801" w:rsidRDefault="00F35E8B" w:rsidP="00F76F59">
      <w:pPr>
        <w:pStyle w:val="ListParagraph"/>
        <w:spacing w:after="0" w:line="360" w:lineRule="auto"/>
        <w:ind w:left="0" w:firstLine="426"/>
        <w:jc w:val="both"/>
        <w:rPr>
          <w:rFonts w:ascii="Cambria" w:hAnsi="Cambria" w:cs="Tahoma"/>
        </w:rPr>
      </w:pPr>
      <w:r w:rsidRPr="00860801">
        <w:rPr>
          <w:rFonts w:ascii="Cambria" w:hAnsi="Cambria" w:cs="Tahoma"/>
        </w:rPr>
        <w:t>∆</w:t>
      </w:r>
      <w:proofErr w:type="spellStart"/>
      <w:r w:rsidRPr="00860801">
        <w:rPr>
          <w:rFonts w:ascii="Cambria" w:hAnsi="Cambria" w:cs="Tahoma"/>
        </w:rPr>
        <w:t>Yt</w:t>
      </w:r>
      <w:proofErr w:type="spellEnd"/>
      <w:r w:rsidRPr="00860801">
        <w:rPr>
          <w:rFonts w:ascii="Cambria" w:hAnsi="Cambria" w:cs="Tahoma"/>
        </w:rPr>
        <w:t>: Form of first different</w:t>
      </w:r>
    </w:p>
    <w:p w:rsidR="00D8285C" w:rsidRPr="00860801" w:rsidRDefault="00F35E8B" w:rsidP="00F76F59">
      <w:pPr>
        <w:pStyle w:val="ListParagraph"/>
        <w:spacing w:after="0" w:line="360" w:lineRule="auto"/>
        <w:ind w:left="0" w:firstLine="426"/>
        <w:jc w:val="both"/>
        <w:rPr>
          <w:rFonts w:ascii="Cambria" w:hAnsi="Cambria" w:cs="Tahoma"/>
        </w:rPr>
      </w:pPr>
      <w:proofErr w:type="gramStart"/>
      <w:r w:rsidRPr="00860801">
        <w:rPr>
          <w:rFonts w:ascii="Cambria" w:hAnsi="Cambria" w:cs="Tahoma"/>
        </w:rPr>
        <w:t>α0 :</w:t>
      </w:r>
      <w:proofErr w:type="gramEnd"/>
      <w:r w:rsidRPr="00860801">
        <w:rPr>
          <w:rFonts w:ascii="Cambria" w:hAnsi="Cambria" w:cs="Tahoma"/>
        </w:rPr>
        <w:t xml:space="preserve"> Intercept</w:t>
      </w:r>
    </w:p>
    <w:p w:rsidR="001F3B51" w:rsidRPr="00860801" w:rsidRDefault="00F35E8B" w:rsidP="001F3B51">
      <w:pPr>
        <w:pStyle w:val="ListParagraph"/>
        <w:spacing w:after="0" w:line="360" w:lineRule="auto"/>
        <w:ind w:left="0" w:firstLine="426"/>
        <w:jc w:val="both"/>
        <w:rPr>
          <w:rFonts w:ascii="Cambria" w:hAnsi="Cambria" w:cs="Tahoma"/>
        </w:rPr>
      </w:pPr>
      <w:r w:rsidRPr="00860801">
        <w:rPr>
          <w:rFonts w:ascii="Cambria" w:hAnsi="Cambria" w:cs="Tahoma"/>
        </w:rPr>
        <w:t>Y: The variable tested is stationary</w:t>
      </w:r>
    </w:p>
    <w:p w:rsidR="001F3B51" w:rsidRPr="00860801" w:rsidRDefault="00F35E8B" w:rsidP="001F3B51">
      <w:pPr>
        <w:pStyle w:val="ListParagraph"/>
        <w:spacing w:after="0" w:line="360" w:lineRule="auto"/>
        <w:ind w:left="0" w:firstLine="426"/>
        <w:jc w:val="both"/>
        <w:rPr>
          <w:rFonts w:ascii="Cambria" w:hAnsi="Cambria" w:cs="Tahoma"/>
        </w:rPr>
      </w:pPr>
      <w:r w:rsidRPr="00860801">
        <w:rPr>
          <w:rFonts w:ascii="Cambria" w:hAnsi="Cambria" w:cs="Tahoma"/>
        </w:rPr>
        <w:t>P: the length of the lag used in the model</w:t>
      </w:r>
    </w:p>
    <w:p w:rsidR="00D8285C" w:rsidRPr="00860801" w:rsidRDefault="00F35E8B" w:rsidP="001F3B51">
      <w:pPr>
        <w:pStyle w:val="ListParagraph"/>
        <w:spacing w:after="0" w:line="360" w:lineRule="auto"/>
        <w:ind w:left="0" w:firstLine="426"/>
        <w:jc w:val="both"/>
        <w:rPr>
          <w:rFonts w:ascii="Cambria" w:hAnsi="Cambria" w:cs="Tahoma"/>
        </w:rPr>
      </w:pPr>
      <m:oMath>
        <m:r>
          <w:rPr>
            <w:rFonts w:ascii="Cambria Math" w:hAnsi="Cambria Math" w:cs="Tahoma"/>
          </w:rPr>
          <m:t>ε</m:t>
        </m:r>
      </m:oMath>
      <w:r w:rsidRPr="00860801">
        <w:rPr>
          <w:rFonts w:ascii="Cambria" w:hAnsi="Cambria" w:cs="Tahoma"/>
        </w:rPr>
        <w:t>: Error term</w:t>
      </w:r>
    </w:p>
    <w:p w:rsidR="001F3B51" w:rsidRPr="00860801" w:rsidRDefault="00F35E8B" w:rsidP="001F3B51">
      <w:pPr>
        <w:pStyle w:val="ListParagraph"/>
        <w:numPr>
          <w:ilvl w:val="0"/>
          <w:numId w:val="3"/>
        </w:numPr>
        <w:spacing w:after="0" w:line="360" w:lineRule="auto"/>
        <w:ind w:left="426"/>
        <w:jc w:val="both"/>
        <w:rPr>
          <w:rFonts w:ascii="Cambria" w:hAnsi="Cambria" w:cs="Tahoma"/>
        </w:rPr>
      </w:pPr>
      <w:r w:rsidRPr="00860801">
        <w:rPr>
          <w:rFonts w:ascii="Cambria" w:hAnsi="Cambria" w:cs="Tahoma"/>
        </w:rPr>
        <w:t>Optimum leg length test</w:t>
      </w:r>
    </w:p>
    <w:p w:rsidR="001F3B51" w:rsidRPr="00860801" w:rsidRDefault="00F35E8B" w:rsidP="001F3B51">
      <w:pPr>
        <w:spacing w:after="0" w:line="360" w:lineRule="auto"/>
        <w:ind w:left="426" w:firstLine="567"/>
        <w:jc w:val="both"/>
        <w:rPr>
          <w:rFonts w:ascii="Cambria" w:hAnsi="Cambria" w:cs="Tahoma"/>
        </w:rPr>
      </w:pPr>
      <w:r w:rsidRPr="00860801">
        <w:rPr>
          <w:rFonts w:ascii="Cambria" w:hAnsi="Cambria" w:cs="Tahoma"/>
        </w:rPr>
        <w:lastRenderedPageBreak/>
        <w:t xml:space="preserve">The second step in this process is to determine the optimal lag length for the VAR system to see the long-term relationship between variables. Determination of the lag in the VAR model according to the information criteria recommended by (AIC), (SIC), (HQ), and (FPE). The criterion that has the smallest AIC, SIC, HQ, or FPE is the lag that will be used. This lag test is used so that there are no </w:t>
      </w:r>
      <w:r w:rsidR="005374BD" w:rsidRPr="00860801">
        <w:rPr>
          <w:rFonts w:ascii="Cambria" w:hAnsi="Cambria" w:cs="Tahoma"/>
        </w:rPr>
        <w:t xml:space="preserve">autocorrelation problems in the system </w:t>
      </w:r>
      <w:r w:rsidR="005374BD" w:rsidRPr="00860801">
        <w:rPr>
          <w:rFonts w:ascii="Cambria" w:hAnsi="Cambria" w:cs="Tahoma"/>
        </w:rPr>
        <w:fldChar w:fldCharType="begin" w:fldLock="1"/>
      </w:r>
      <w:r w:rsidR="008B1A8F" w:rsidRPr="00860801">
        <w:rPr>
          <w:rFonts w:ascii="Cambria" w:hAnsi="Cambria" w:cs="Tahoma"/>
        </w:rPr>
        <w:instrText>ADDIN CSL_CITATION {"citationItems":[{"id":"ITEM-1","itemData":{"ISBN":"979-602-7577-31-2","author":[{"dropping-particle":"","family":"Basuki","given":"Agus Tri","non-dropping-particle":"","parse-names":false,"suffix":""},{"dropping-particle":"","family":"Yuliadi","given":"Imamudin","non-dropping-particle":"","parse-names":false,"suffix":""}],"id":"ITEM-1","issued":{"date-parts":[["2014"]]},"publisher":"Penerbit Danisa Media Yogyakarta","publisher-place":"Yogyakarta","title":"ELECTRONIC DATA PROCESSING (SPSS 15 DAN EVIEWS 7)","type":"book"},"uris":["http://www.mendeley.com/documents/?uuid=c916b8a0-4eef-4424-8771-fd1e1640a34d"]}],"mendeley":{"formattedCitation":"(Basuki &amp; Yuliadi, 2014)","plainTextFormattedCitation":"(Basuki &amp; Yuliadi, 2014)","previouslyFormattedCitation":"(Basuki &amp; Yuliadi, 2014)"},"properties":{"noteIndex":0},"schema":"https://github.com/citation-style-language/schema/raw/master/csl-citation.json"}</w:instrText>
      </w:r>
      <w:r w:rsidR="005374BD" w:rsidRPr="00860801">
        <w:rPr>
          <w:rFonts w:ascii="Cambria" w:hAnsi="Cambria" w:cs="Tahoma"/>
        </w:rPr>
        <w:fldChar w:fldCharType="separate"/>
      </w:r>
      <w:r w:rsidR="005374BD" w:rsidRPr="00860801">
        <w:rPr>
          <w:rFonts w:ascii="Cambria" w:hAnsi="Cambria" w:cs="Tahoma"/>
          <w:noProof/>
        </w:rPr>
        <w:t>(Basuki &amp; Yuliadi, 2014)</w:t>
      </w:r>
      <w:r w:rsidR="005374BD" w:rsidRPr="00860801">
        <w:rPr>
          <w:rFonts w:ascii="Cambria" w:hAnsi="Cambria" w:cs="Tahoma"/>
        </w:rPr>
        <w:fldChar w:fldCharType="end"/>
      </w:r>
    </w:p>
    <w:p w:rsidR="00235863" w:rsidRPr="00860801" w:rsidRDefault="00F35E8B" w:rsidP="001F3B51">
      <w:pPr>
        <w:pStyle w:val="ListParagraph"/>
        <w:numPr>
          <w:ilvl w:val="0"/>
          <w:numId w:val="3"/>
        </w:numPr>
        <w:spacing w:after="0" w:line="360" w:lineRule="auto"/>
        <w:ind w:left="426"/>
        <w:jc w:val="both"/>
        <w:rPr>
          <w:rFonts w:ascii="Cambria" w:hAnsi="Cambria" w:cs="Tahoma"/>
        </w:rPr>
      </w:pPr>
      <w:proofErr w:type="spellStart"/>
      <w:r w:rsidRPr="00860801">
        <w:rPr>
          <w:rFonts w:ascii="Cambria" w:hAnsi="Cambria" w:cs="Tahoma"/>
        </w:rPr>
        <w:t>Cointegration</w:t>
      </w:r>
      <w:proofErr w:type="spellEnd"/>
      <w:r w:rsidRPr="00860801">
        <w:rPr>
          <w:rFonts w:ascii="Cambria" w:hAnsi="Cambria" w:cs="Tahoma"/>
        </w:rPr>
        <w:t xml:space="preserve"> Test</w:t>
      </w:r>
    </w:p>
    <w:p w:rsidR="00235863" w:rsidRPr="00860801" w:rsidRDefault="00F35E8B" w:rsidP="001F3B51">
      <w:pPr>
        <w:spacing w:after="0" w:line="360" w:lineRule="auto"/>
        <w:ind w:left="426" w:firstLine="567"/>
        <w:jc w:val="both"/>
        <w:rPr>
          <w:rFonts w:ascii="Cambria" w:hAnsi="Cambria" w:cs="Tahoma"/>
        </w:rPr>
      </w:pPr>
      <w:proofErr w:type="spellStart"/>
      <w:r w:rsidRPr="00860801">
        <w:rPr>
          <w:rFonts w:ascii="Cambria" w:hAnsi="Cambria" w:cs="Tahoma"/>
        </w:rPr>
        <w:t>Cointegration</w:t>
      </w:r>
      <w:proofErr w:type="spellEnd"/>
      <w:r w:rsidRPr="00860801">
        <w:rPr>
          <w:rFonts w:ascii="Cambria" w:hAnsi="Cambria" w:cs="Tahoma"/>
        </w:rPr>
        <w:t xml:space="preserve"> is a linear relationship of non-stationary variables, and all of these variables must be integrated to the same degree. </w:t>
      </w:r>
      <w:proofErr w:type="spellStart"/>
      <w:r w:rsidRPr="00860801">
        <w:rPr>
          <w:rFonts w:ascii="Cambria" w:hAnsi="Cambria" w:cs="Tahoma"/>
        </w:rPr>
        <w:t>Widarjono</w:t>
      </w:r>
      <w:proofErr w:type="spellEnd"/>
      <w:r w:rsidRPr="00860801">
        <w:rPr>
          <w:rFonts w:ascii="Cambria" w:hAnsi="Cambria" w:cs="Tahoma"/>
        </w:rPr>
        <w:t xml:space="preserve"> (2007) explains that one approach that can be used in the </w:t>
      </w:r>
      <w:proofErr w:type="spellStart"/>
      <w:r w:rsidRPr="00860801">
        <w:rPr>
          <w:rFonts w:ascii="Cambria" w:hAnsi="Cambria" w:cs="Tahoma"/>
        </w:rPr>
        <w:t>cointegration</w:t>
      </w:r>
      <w:proofErr w:type="spellEnd"/>
      <w:r w:rsidRPr="00860801">
        <w:rPr>
          <w:rFonts w:ascii="Cambria" w:hAnsi="Cambria" w:cs="Tahoma"/>
        </w:rPr>
        <w:t xml:space="preserve"> test is Johansen's Multivariate </w:t>
      </w:r>
      <w:proofErr w:type="spellStart"/>
      <w:r w:rsidRPr="00860801">
        <w:rPr>
          <w:rFonts w:ascii="Cambria" w:hAnsi="Cambria" w:cs="Tahoma"/>
        </w:rPr>
        <w:t>Cointegration</w:t>
      </w:r>
      <w:proofErr w:type="spellEnd"/>
      <w:r w:rsidRPr="00860801">
        <w:rPr>
          <w:rFonts w:ascii="Cambria" w:hAnsi="Cambria" w:cs="Tahoma"/>
        </w:rPr>
        <w:t xml:space="preserve"> Test method.</w:t>
      </w:r>
    </w:p>
    <w:p w:rsidR="00235863" w:rsidRPr="00860801" w:rsidRDefault="00F35E8B" w:rsidP="00F76F59">
      <w:pPr>
        <w:spacing w:after="0" w:line="360" w:lineRule="auto"/>
        <w:ind w:left="426"/>
        <w:jc w:val="both"/>
        <w:rPr>
          <w:rFonts w:ascii="Cambria" w:hAnsi="Cambria" w:cs="Tahoma"/>
        </w:rPr>
      </w:pPr>
      <w:proofErr w:type="spellStart"/>
      <w:proofErr w:type="gramStart"/>
      <w:r w:rsidRPr="00860801">
        <w:rPr>
          <w:rFonts w:ascii="Cambria" w:hAnsi="Cambria" w:cs="Tahoma"/>
        </w:rPr>
        <w:t>yt</w:t>
      </w:r>
      <w:proofErr w:type="spellEnd"/>
      <w:proofErr w:type="gramEnd"/>
      <w:r w:rsidRPr="00860801">
        <w:rPr>
          <w:rFonts w:ascii="Cambria" w:hAnsi="Cambria" w:cs="Tahoma"/>
        </w:rPr>
        <w:t xml:space="preserve"> = A </w:t>
      </w:r>
      <w:r w:rsidRPr="00860801">
        <w:rPr>
          <w:rFonts w:ascii="Cambria" w:hAnsi="Cambria" w:cs="Tahoma"/>
          <w:vertAlign w:val="subscript"/>
        </w:rPr>
        <w:t xml:space="preserve">1 </w:t>
      </w:r>
      <w:r w:rsidRPr="00860801">
        <w:rPr>
          <w:rFonts w:ascii="Cambria" w:hAnsi="Cambria" w:cs="Tahoma"/>
        </w:rPr>
        <w:t xml:space="preserve">y </w:t>
      </w:r>
      <w:r w:rsidRPr="00860801">
        <w:rPr>
          <w:rFonts w:ascii="Cambria" w:hAnsi="Cambria" w:cs="Tahoma"/>
          <w:vertAlign w:val="subscript"/>
        </w:rPr>
        <w:t xml:space="preserve">t-1 </w:t>
      </w:r>
      <w:r w:rsidRPr="00860801">
        <w:rPr>
          <w:rFonts w:ascii="Cambria" w:hAnsi="Cambria" w:cs="Tahoma"/>
        </w:rPr>
        <w:t xml:space="preserve">+....... + A </w:t>
      </w:r>
      <w:r w:rsidRPr="00860801">
        <w:rPr>
          <w:rFonts w:ascii="Cambria" w:hAnsi="Cambria" w:cs="Tahoma"/>
          <w:vertAlign w:val="subscript"/>
        </w:rPr>
        <w:t xml:space="preserve">p </w:t>
      </w:r>
      <w:r w:rsidRPr="00860801">
        <w:rPr>
          <w:rFonts w:ascii="Cambria" w:hAnsi="Cambria" w:cs="Tahoma"/>
        </w:rPr>
        <w:t xml:space="preserve">y </w:t>
      </w:r>
      <w:proofErr w:type="spellStart"/>
      <w:r w:rsidRPr="00860801">
        <w:rPr>
          <w:rFonts w:ascii="Cambria" w:hAnsi="Cambria" w:cs="Tahoma"/>
          <w:vertAlign w:val="subscript"/>
        </w:rPr>
        <w:t>tp</w:t>
      </w:r>
      <w:proofErr w:type="spellEnd"/>
      <w:r w:rsidRPr="00860801">
        <w:rPr>
          <w:rFonts w:ascii="Cambria" w:hAnsi="Cambria" w:cs="Tahoma"/>
          <w:vertAlign w:val="subscript"/>
        </w:rPr>
        <w:t xml:space="preserve"> </w:t>
      </w:r>
      <w:r w:rsidRPr="00860801">
        <w:rPr>
          <w:rFonts w:ascii="Cambria" w:hAnsi="Cambria" w:cs="Tahoma"/>
        </w:rPr>
        <w:t xml:space="preserve">+ B </w:t>
      </w:r>
      <w:r w:rsidRPr="00860801">
        <w:rPr>
          <w:rFonts w:ascii="Cambria" w:hAnsi="Cambria" w:cs="Tahoma"/>
          <w:vertAlign w:val="subscript"/>
        </w:rPr>
        <w:t xml:space="preserve">πt </w:t>
      </w:r>
      <w:r w:rsidRPr="00860801">
        <w:rPr>
          <w:rFonts w:ascii="Cambria" w:hAnsi="Cambria" w:cs="Tahoma"/>
        </w:rPr>
        <w:t xml:space="preserve">+ </w:t>
      </w:r>
      <w:r w:rsidRPr="00860801">
        <w:rPr>
          <w:rFonts w:ascii="Times New Roman" w:hAnsi="Times New Roman" w:cs="Times New Roman"/>
        </w:rPr>
        <w:t>٤</w:t>
      </w:r>
      <w:r w:rsidRPr="00860801">
        <w:rPr>
          <w:rFonts w:ascii="Cambria" w:hAnsi="Cambria" w:cs="Times New Roman"/>
        </w:rPr>
        <w:t xml:space="preserve"> </w:t>
      </w:r>
      <w:r w:rsidRPr="00860801">
        <w:rPr>
          <w:rFonts w:ascii="Cambria" w:hAnsi="Cambria" w:cs="Tahoma"/>
          <w:vertAlign w:val="subscript"/>
        </w:rPr>
        <w:t>t</w:t>
      </w:r>
      <w:r w:rsidRPr="00860801">
        <w:rPr>
          <w:rFonts w:ascii="Cambria" w:hAnsi="Cambria" w:cs="Tahoma"/>
        </w:rPr>
        <w:t xml:space="preserve"> </w:t>
      </w:r>
    </w:p>
    <w:p w:rsidR="00235863" w:rsidRPr="00860801" w:rsidRDefault="00F35E8B" w:rsidP="00F76F59">
      <w:pPr>
        <w:spacing w:after="0" w:line="360" w:lineRule="auto"/>
        <w:ind w:left="426"/>
        <w:jc w:val="both"/>
        <w:rPr>
          <w:rFonts w:ascii="Cambria" w:hAnsi="Cambria" w:cs="Tahoma"/>
        </w:rPr>
      </w:pPr>
      <w:r w:rsidRPr="00860801">
        <w:rPr>
          <w:rFonts w:ascii="Cambria" w:hAnsi="Cambria" w:cs="Tahoma"/>
        </w:rPr>
        <w:t>Where:</w:t>
      </w:r>
    </w:p>
    <w:p w:rsidR="00235863" w:rsidRPr="00860801" w:rsidRDefault="00F35E8B" w:rsidP="001F3B51">
      <w:pPr>
        <w:spacing w:after="0" w:line="360" w:lineRule="auto"/>
        <w:ind w:left="426"/>
        <w:jc w:val="both"/>
        <w:rPr>
          <w:rFonts w:ascii="Cambria" w:hAnsi="Cambria" w:cs="Tahoma"/>
        </w:rPr>
      </w:pPr>
      <w:proofErr w:type="gramStart"/>
      <w:r w:rsidRPr="00860801">
        <w:rPr>
          <w:rFonts w:ascii="Cambria" w:hAnsi="Cambria" w:cs="Tahoma"/>
        </w:rPr>
        <w:t>y</w:t>
      </w:r>
      <w:proofErr w:type="gramEnd"/>
      <w:r w:rsidRPr="00860801">
        <w:rPr>
          <w:rFonts w:ascii="Cambria" w:hAnsi="Cambria" w:cs="Tahoma"/>
        </w:rPr>
        <w:t xml:space="preserve"> </w:t>
      </w:r>
      <w:r w:rsidRPr="00860801">
        <w:rPr>
          <w:rFonts w:ascii="Cambria" w:hAnsi="Cambria" w:cs="Tahoma"/>
          <w:vertAlign w:val="subscript"/>
        </w:rPr>
        <w:t>t</w:t>
      </w:r>
      <w:r w:rsidRPr="00860801">
        <w:rPr>
          <w:rFonts w:ascii="Cambria" w:hAnsi="Cambria" w:cs="Tahoma"/>
        </w:rPr>
        <w:t>: Vector k on non-stationary variables</w:t>
      </w:r>
    </w:p>
    <w:p w:rsidR="00235863" w:rsidRPr="00860801" w:rsidRDefault="00F35E8B" w:rsidP="001F3B51">
      <w:pPr>
        <w:spacing w:after="0" w:line="360" w:lineRule="auto"/>
        <w:ind w:left="426"/>
        <w:jc w:val="both"/>
        <w:rPr>
          <w:rFonts w:ascii="Cambria" w:hAnsi="Cambria" w:cs="Tahoma"/>
        </w:rPr>
      </w:pPr>
      <w:proofErr w:type="gramStart"/>
      <w:r w:rsidRPr="00860801">
        <w:rPr>
          <w:rFonts w:ascii="Cambria" w:hAnsi="Cambria" w:cs="Tahoma"/>
        </w:rPr>
        <w:t>π</w:t>
      </w:r>
      <w:proofErr w:type="gramEnd"/>
      <w:r w:rsidRPr="00860801">
        <w:rPr>
          <w:rFonts w:ascii="Cambria" w:hAnsi="Cambria" w:cs="Tahoma"/>
        </w:rPr>
        <w:t xml:space="preserve"> </w:t>
      </w:r>
      <w:r w:rsidRPr="00860801">
        <w:rPr>
          <w:rFonts w:ascii="Cambria" w:hAnsi="Cambria" w:cs="Tahoma"/>
          <w:vertAlign w:val="subscript"/>
        </w:rPr>
        <w:t>t</w:t>
      </w:r>
      <w:r w:rsidR="001F3B51" w:rsidRPr="00860801">
        <w:rPr>
          <w:rFonts w:ascii="Cambria" w:hAnsi="Cambria" w:cs="Tahoma"/>
        </w:rPr>
        <w:t>: Vector d on a deterministic variable</w:t>
      </w:r>
    </w:p>
    <w:p w:rsidR="00235863" w:rsidRPr="00860801" w:rsidRDefault="00F35E8B" w:rsidP="00F76F59">
      <w:pPr>
        <w:spacing w:after="0" w:line="360" w:lineRule="auto"/>
        <w:ind w:left="426"/>
        <w:jc w:val="both"/>
        <w:rPr>
          <w:rFonts w:ascii="Cambria" w:hAnsi="Cambria" w:cs="Tahoma"/>
        </w:rPr>
      </w:pPr>
      <w:r w:rsidRPr="00860801">
        <w:rPr>
          <w:rFonts w:ascii="Times New Roman" w:hAnsi="Times New Roman" w:cs="Times New Roman"/>
        </w:rPr>
        <w:t>٤</w:t>
      </w:r>
      <w:r w:rsidRPr="00860801">
        <w:rPr>
          <w:rFonts w:ascii="Cambria" w:hAnsi="Cambria" w:cs="Times New Roman"/>
        </w:rPr>
        <w:t xml:space="preserve"> </w:t>
      </w:r>
      <w:r w:rsidRPr="00860801">
        <w:rPr>
          <w:rFonts w:ascii="Cambria" w:hAnsi="Cambria" w:cs="Tahoma"/>
          <w:vertAlign w:val="subscript"/>
        </w:rPr>
        <w:t>t</w:t>
      </w:r>
      <w:r w:rsidRPr="00860801">
        <w:rPr>
          <w:rFonts w:ascii="Cambria" w:hAnsi="Cambria" w:cs="Tahoma"/>
        </w:rPr>
        <w:t>: Innovation vector</w:t>
      </w:r>
    </w:p>
    <w:p w:rsidR="001F3B51" w:rsidRPr="00860801" w:rsidRDefault="00F35E8B" w:rsidP="001F3B51">
      <w:pPr>
        <w:spacing w:after="0" w:line="360" w:lineRule="auto"/>
        <w:ind w:left="426" w:firstLine="567"/>
        <w:jc w:val="both"/>
        <w:rPr>
          <w:rFonts w:ascii="Cambria" w:hAnsi="Cambria" w:cs="Tahoma"/>
        </w:rPr>
      </w:pPr>
      <w:r w:rsidRPr="00860801">
        <w:rPr>
          <w:rFonts w:ascii="Cambria" w:hAnsi="Cambria" w:cs="Tahoma"/>
        </w:rPr>
        <w:t xml:space="preserve">If there is a </w:t>
      </w:r>
      <w:proofErr w:type="spellStart"/>
      <w:r w:rsidRPr="00860801">
        <w:rPr>
          <w:rFonts w:ascii="Cambria" w:hAnsi="Cambria" w:cs="Tahoma"/>
        </w:rPr>
        <w:t>cointegration</w:t>
      </w:r>
      <w:proofErr w:type="spellEnd"/>
      <w:r w:rsidRPr="00860801">
        <w:rPr>
          <w:rFonts w:ascii="Cambria" w:hAnsi="Cambria" w:cs="Tahoma"/>
        </w:rPr>
        <w:t xml:space="preserve"> relationship, then the Vector Error Correction Model (VECM) is used.</w:t>
      </w:r>
    </w:p>
    <w:p w:rsidR="00074C14" w:rsidRPr="00860801" w:rsidRDefault="00F35E8B" w:rsidP="00074C14">
      <w:pPr>
        <w:pStyle w:val="ListParagraph"/>
        <w:numPr>
          <w:ilvl w:val="0"/>
          <w:numId w:val="3"/>
        </w:numPr>
        <w:spacing w:after="0" w:line="360" w:lineRule="auto"/>
        <w:jc w:val="both"/>
        <w:rPr>
          <w:rFonts w:ascii="Cambria" w:hAnsi="Cambria" w:cs="Tahoma"/>
        </w:rPr>
      </w:pPr>
      <w:r w:rsidRPr="00860801">
        <w:rPr>
          <w:rFonts w:ascii="Cambria" w:hAnsi="Cambria" w:cs="Tahoma"/>
        </w:rPr>
        <w:t>Granger Causality Analysis</w:t>
      </w:r>
    </w:p>
    <w:p w:rsidR="00074C14" w:rsidRPr="00860801" w:rsidRDefault="00F35E8B" w:rsidP="00646F65">
      <w:pPr>
        <w:pStyle w:val="ListParagraph"/>
        <w:spacing w:after="0" w:line="360" w:lineRule="auto"/>
        <w:ind w:firstLine="698"/>
        <w:jc w:val="both"/>
        <w:rPr>
          <w:rFonts w:ascii="Cambria" w:hAnsi="Cambria" w:cs="Tahoma"/>
        </w:rPr>
      </w:pPr>
      <w:r w:rsidRPr="00860801">
        <w:rPr>
          <w:rFonts w:ascii="Cambria" w:hAnsi="Cambria" w:cs="Tahoma"/>
        </w:rPr>
        <w:t xml:space="preserve">According to </w:t>
      </w:r>
      <w:proofErr w:type="spellStart"/>
      <w:r w:rsidRPr="00860801">
        <w:rPr>
          <w:rFonts w:ascii="Cambria" w:hAnsi="Cambria" w:cs="Tahoma"/>
        </w:rPr>
        <w:t>Basuki</w:t>
      </w:r>
      <w:proofErr w:type="spellEnd"/>
      <w:r w:rsidRPr="00860801">
        <w:rPr>
          <w:rFonts w:ascii="Cambria" w:hAnsi="Cambria" w:cs="Tahoma"/>
        </w:rPr>
        <w:t xml:space="preserve"> and </w:t>
      </w:r>
      <w:proofErr w:type="spellStart"/>
      <w:r w:rsidRPr="00860801">
        <w:rPr>
          <w:rFonts w:ascii="Cambria" w:hAnsi="Cambria" w:cs="Tahoma"/>
        </w:rPr>
        <w:t>Yuliadi</w:t>
      </w:r>
      <w:proofErr w:type="spellEnd"/>
      <w:r w:rsidRPr="00860801">
        <w:rPr>
          <w:rFonts w:ascii="Cambria" w:hAnsi="Cambria" w:cs="Tahoma"/>
        </w:rPr>
        <w:t xml:space="preserve"> </w:t>
      </w:r>
      <w:r w:rsidRPr="00860801">
        <w:rPr>
          <w:rFonts w:ascii="Cambria" w:hAnsi="Cambria" w:cs="Tahoma"/>
        </w:rPr>
        <w:fldChar w:fldCharType="begin" w:fldLock="1"/>
      </w:r>
      <w:r w:rsidR="00E34A02" w:rsidRPr="00860801">
        <w:rPr>
          <w:rFonts w:ascii="Cambria" w:hAnsi="Cambria" w:cs="Tahoma"/>
        </w:rPr>
        <w:instrText>ADDIN CSL_CITATION {"citationItems":[{"id":"ITEM-1","itemData":{"ISBN":"979-602-7577-31-2","author":[{"dropping-particle":"","family":"Basuki","given":"Agus Tri","non-dropping-particle":"","parse-names":false,"suffix":""},{"dropping-particle":"","family":"Yuliadi","given":"Imamudin","non-dropping-particle":"","parse-names":false,"suffix":""}],"id":"ITEM-1","issued":{"date-parts":[["2014"]]},"publisher":"Penerbit Danisa Media Yogyakarta","publisher-place":"Yogyakarta","title":"ELECTRONIC DATA PROCESSING (SPSS 15 DAN EVIEWS 7)","type":"book"},"uris":["http://www.mendeley.com/documents/?uuid=c916b8a0-4eef-4424-8771-fd1e1640a34d"]}],"mendeley":{"formattedCitation":"(Basuki &amp; Yuliadi, 2014)","manualFormatting":"(2014)","plainTextFormattedCitation":"(Basuki &amp; Yuliadi, 2014)","previouslyFormattedCitation":"(Basuki &amp; Yuliadi, 2014)"},"properties":{"noteIndex":0},"schema":"https://github.com/citation-style-language/schema/raw/master/csl-citation.json"}</w:instrText>
      </w:r>
      <w:r w:rsidRPr="00860801">
        <w:rPr>
          <w:rFonts w:ascii="Cambria" w:hAnsi="Cambria" w:cs="Tahoma"/>
        </w:rPr>
        <w:fldChar w:fldCharType="separate"/>
      </w:r>
      <w:r w:rsidRPr="00860801">
        <w:rPr>
          <w:rFonts w:ascii="Cambria" w:hAnsi="Cambria" w:cs="Tahoma"/>
          <w:noProof/>
        </w:rPr>
        <w:t xml:space="preserve">(2014), </w:t>
      </w:r>
      <w:r w:rsidRPr="00860801">
        <w:rPr>
          <w:rFonts w:ascii="Cambria" w:hAnsi="Cambria" w:cs="Tahoma"/>
        </w:rPr>
        <w:fldChar w:fldCharType="end"/>
      </w:r>
      <w:r w:rsidR="00E34A02" w:rsidRPr="00860801">
        <w:rPr>
          <w:rFonts w:ascii="Cambria" w:hAnsi="Cambria" w:cs="Tahoma"/>
        </w:rPr>
        <w:t xml:space="preserve">the Granger causality analysis method can be carried out using Granger's Causality and Error Correction Model Causality methods. The Granger causality equation is as follows </w:t>
      </w:r>
      <w:r w:rsidR="00E34A02" w:rsidRPr="00860801">
        <w:rPr>
          <w:rFonts w:ascii="Cambria" w:hAnsi="Cambria" w:cs="Tahoma"/>
        </w:rPr>
        <w:fldChar w:fldCharType="begin" w:fldLock="1"/>
      </w:r>
      <w:r w:rsidR="00654B98" w:rsidRPr="00860801">
        <w:rPr>
          <w:rFonts w:ascii="Cambria" w:hAnsi="Cambria" w:cs="Tahoma"/>
        </w:rPr>
        <w:instrText>ADDIN CSL_CITATION {"citationItems":[{"id":"ITEM-1","itemData":{"ISBN":"979-8170-71-7","author":[{"dropping-particle":"","family":"Kuncoro","given":"Mudrajad","non-dropping-particle":"","parse-names":false,"suffix":""}],"edition":"4","id":"ITEM-1","issued":{"date-parts":[["2011"]]},"publisher":"UPP STIM YKPN","publisher-place":"Yogyakarta","title":"Quantitative methods: Theory and its applications to business and economics","type":"book"},"uris":["http://www.mendeley.com/documents/?uuid=d955352d-8a28-4ea2-a266-7de3756f1fc8"]}],"mendeley":{"formattedCitation":"(Kuncoro, 2011)","plainTextFormattedCitation":"(Kuncoro, 2011)","previouslyFormattedCitation":"(Kuncoro, 2011)"},"properties":{"noteIndex":0},"schema":"https://github.com/citation-style-language/schema/raw/master/csl-citation.json"}</w:instrText>
      </w:r>
      <w:r w:rsidR="00E34A02" w:rsidRPr="00860801">
        <w:rPr>
          <w:rFonts w:ascii="Cambria" w:hAnsi="Cambria" w:cs="Tahoma"/>
        </w:rPr>
        <w:fldChar w:fldCharType="separate"/>
      </w:r>
      <w:r w:rsidR="00E34A02" w:rsidRPr="00860801">
        <w:rPr>
          <w:rFonts w:ascii="Cambria" w:hAnsi="Cambria" w:cs="Tahoma"/>
          <w:noProof/>
        </w:rPr>
        <w:t xml:space="preserve">(Kuncoro, 2011) </w:t>
      </w:r>
      <w:r w:rsidR="00E34A02" w:rsidRPr="00860801">
        <w:rPr>
          <w:rFonts w:ascii="Cambria" w:hAnsi="Cambria" w:cs="Tahoma"/>
        </w:rPr>
        <w:fldChar w:fldCharType="end"/>
      </w:r>
      <w:r w:rsidRPr="00860801">
        <w:rPr>
          <w:rFonts w:ascii="Cambria" w:hAnsi="Cambria" w:cs="Tahoma"/>
        </w:rPr>
        <w:t>:</w:t>
      </w:r>
    </w:p>
    <w:p w:rsidR="00074C14" w:rsidRPr="00860801" w:rsidRDefault="00F35E8B" w:rsidP="00074C14">
      <w:pPr>
        <w:pStyle w:val="ListParagraph"/>
        <w:spacing w:after="0" w:line="360" w:lineRule="auto"/>
        <w:jc w:val="both"/>
        <w:rPr>
          <w:rFonts w:ascii="Cambria" w:hAnsi="Cambria" w:cs="Tahoma"/>
        </w:rPr>
      </w:pPr>
      <w:r w:rsidRPr="00860801">
        <w:rPr>
          <w:rFonts w:ascii="Cambria" w:hAnsi="Cambria" w:cs="Tahoma"/>
        </w:rPr>
        <w:t xml:space="preserve">Y </w:t>
      </w:r>
      <w:r w:rsidRPr="00860801">
        <w:rPr>
          <w:rFonts w:ascii="Cambria" w:hAnsi="Cambria" w:cs="Tahoma"/>
          <w:vertAlign w:val="subscript"/>
        </w:rPr>
        <w:t xml:space="preserve">t </w:t>
      </w:r>
      <w:r w:rsidRPr="00860801">
        <w:rPr>
          <w:rFonts w:ascii="Cambria" w:hAnsi="Cambria" w:cs="Tahoma"/>
        </w:rPr>
        <w:t>=</w:t>
      </w:r>
      <w:proofErr w:type="spellStart"/>
      <w:r w:rsidRPr="00860801">
        <w:rPr>
          <w:rFonts w:ascii="Cambria" w:hAnsi="Cambria" w:cs="Tahoma"/>
        </w:rPr>
        <w:t>aiYt-i+bjXt-j+</w:t>
      </w:r>
      <w:proofErr w:type="gramStart"/>
      <w:r w:rsidRPr="00860801">
        <w:rPr>
          <w:rFonts w:ascii="Cambria" w:hAnsi="Cambria" w:cs="Tahoma"/>
        </w:rPr>
        <w:t>vt</w:t>
      </w:r>
      <w:proofErr w:type="spellEnd"/>
      <w:proofErr w:type="gramEnd"/>
      <w:r w:rsidRPr="00860801">
        <w:rPr>
          <w:rFonts w:ascii="Cambria" w:hAnsi="Cambria" w:cs="Tahoma"/>
        </w:rPr>
        <w:t>.................... (1)</w:t>
      </w:r>
    </w:p>
    <w:p w:rsidR="00074C14" w:rsidRPr="00860801" w:rsidRDefault="00F35E8B" w:rsidP="00074C14">
      <w:pPr>
        <w:pStyle w:val="ListParagraph"/>
        <w:spacing w:after="0" w:line="360" w:lineRule="auto"/>
        <w:jc w:val="both"/>
        <w:rPr>
          <w:rFonts w:ascii="Cambria" w:hAnsi="Cambria" w:cs="Tahoma"/>
        </w:rPr>
      </w:pPr>
      <w:r w:rsidRPr="00860801">
        <w:rPr>
          <w:rFonts w:ascii="Cambria" w:hAnsi="Cambria" w:cs="Tahoma"/>
        </w:rPr>
        <w:t xml:space="preserve">X </w:t>
      </w:r>
      <w:r w:rsidRPr="00860801">
        <w:rPr>
          <w:rFonts w:ascii="Cambria" w:hAnsi="Cambria" w:cs="Tahoma"/>
          <w:vertAlign w:val="subscript"/>
        </w:rPr>
        <w:t xml:space="preserve">t </w:t>
      </w:r>
      <w:r w:rsidRPr="00860801">
        <w:rPr>
          <w:rFonts w:ascii="Cambria" w:hAnsi="Cambria" w:cs="Tahoma"/>
        </w:rPr>
        <w:t>=</w:t>
      </w:r>
      <w:proofErr w:type="spellStart"/>
      <w:r w:rsidRPr="00860801">
        <w:rPr>
          <w:rFonts w:ascii="Cambria" w:hAnsi="Cambria" w:cs="Tahoma"/>
        </w:rPr>
        <w:t>ciXt-i+djYt-j+vt</w:t>
      </w:r>
      <w:proofErr w:type="spellEnd"/>
      <w:proofErr w:type="gramStart"/>
      <w:r w:rsidRPr="00860801">
        <w:rPr>
          <w:rFonts w:ascii="Cambria" w:hAnsi="Cambria" w:cs="Tahoma"/>
        </w:rPr>
        <w:t>.............................(</w:t>
      </w:r>
      <w:proofErr w:type="gramEnd"/>
      <w:r w:rsidRPr="00860801">
        <w:rPr>
          <w:rFonts w:ascii="Cambria" w:hAnsi="Cambria" w:cs="Tahoma"/>
        </w:rPr>
        <w:t>2)</w:t>
      </w:r>
    </w:p>
    <w:p w:rsidR="00074C14" w:rsidRPr="00860801" w:rsidRDefault="00F35E8B" w:rsidP="00646F65">
      <w:pPr>
        <w:pStyle w:val="ListParagraph"/>
        <w:spacing w:after="0" w:line="360" w:lineRule="auto"/>
        <w:ind w:firstLine="698"/>
        <w:jc w:val="both"/>
        <w:rPr>
          <w:rFonts w:ascii="Cambria" w:hAnsi="Cambria" w:cs="Tahoma"/>
        </w:rPr>
      </w:pPr>
      <w:r w:rsidRPr="00860801">
        <w:rPr>
          <w:rFonts w:ascii="Cambria" w:hAnsi="Cambria" w:cs="Tahoma"/>
        </w:rPr>
        <w:t xml:space="preserve">From the above equation, it can be explained that the </w:t>
      </w:r>
      <w:proofErr w:type="spellStart"/>
      <w:r w:rsidRPr="00860801">
        <w:rPr>
          <w:rFonts w:ascii="Cambria" w:hAnsi="Cambria" w:cs="Tahoma"/>
        </w:rPr>
        <w:t>Xt</w:t>
      </w:r>
      <w:proofErr w:type="spellEnd"/>
      <w:r w:rsidRPr="00860801">
        <w:rPr>
          <w:rFonts w:ascii="Cambria" w:hAnsi="Cambria" w:cs="Tahoma"/>
        </w:rPr>
        <w:t xml:space="preserve"> variable does not affect the </w:t>
      </w:r>
      <w:proofErr w:type="spellStart"/>
      <w:proofErr w:type="gramStart"/>
      <w:r w:rsidRPr="00860801">
        <w:rPr>
          <w:rFonts w:ascii="Cambria" w:hAnsi="Cambria" w:cs="Tahoma"/>
        </w:rPr>
        <w:t>Yt</w:t>
      </w:r>
      <w:proofErr w:type="spellEnd"/>
      <w:proofErr w:type="gramEnd"/>
      <w:r w:rsidRPr="00860801">
        <w:rPr>
          <w:rFonts w:ascii="Cambria" w:hAnsi="Cambria" w:cs="Tahoma"/>
        </w:rPr>
        <w:t xml:space="preserve"> variable. "In other words, if </w:t>
      </w:r>
      <w:proofErr w:type="spellStart"/>
      <w:r w:rsidRPr="00860801">
        <w:rPr>
          <w:rFonts w:ascii="Cambria" w:hAnsi="Cambria" w:cs="Tahoma"/>
        </w:rPr>
        <w:t>bj</w:t>
      </w:r>
      <w:proofErr w:type="spellEnd"/>
      <w:r w:rsidRPr="00860801">
        <w:rPr>
          <w:rFonts w:ascii="Cambria" w:hAnsi="Cambria" w:cs="Tahoma"/>
        </w:rPr>
        <w:t xml:space="preserve"> = 0 (</w:t>
      </w:r>
      <w:proofErr w:type="spellStart"/>
      <w:r w:rsidRPr="00860801">
        <w:rPr>
          <w:rFonts w:ascii="Cambria" w:hAnsi="Cambria" w:cs="Tahoma"/>
        </w:rPr>
        <w:t>i</w:t>
      </w:r>
      <w:proofErr w:type="spellEnd"/>
      <w:r w:rsidRPr="00860801">
        <w:rPr>
          <w:rFonts w:ascii="Cambria" w:hAnsi="Cambria" w:cs="Tahoma"/>
        </w:rPr>
        <w:t xml:space="preserve"> = 1.2k), then </w:t>
      </w:r>
      <w:proofErr w:type="spellStart"/>
      <w:r w:rsidRPr="00860801">
        <w:rPr>
          <w:rFonts w:ascii="Cambria" w:hAnsi="Cambria" w:cs="Tahoma"/>
        </w:rPr>
        <w:t>Xt</w:t>
      </w:r>
      <w:proofErr w:type="spellEnd"/>
      <w:r w:rsidRPr="00860801">
        <w:rPr>
          <w:rFonts w:ascii="Cambria" w:hAnsi="Cambria" w:cs="Tahoma"/>
        </w:rPr>
        <w:t xml:space="preserve"> fails to cause </w:t>
      </w:r>
      <w:proofErr w:type="spellStart"/>
      <w:proofErr w:type="gramStart"/>
      <w:r w:rsidRPr="00860801">
        <w:rPr>
          <w:rFonts w:ascii="Cambria" w:hAnsi="Cambria" w:cs="Tahoma"/>
        </w:rPr>
        <w:t>Yt</w:t>
      </w:r>
      <w:proofErr w:type="spellEnd"/>
      <w:proofErr w:type="gramEnd"/>
      <w:r w:rsidRPr="00860801">
        <w:rPr>
          <w:rFonts w:ascii="Cambria" w:hAnsi="Cambria" w:cs="Tahoma"/>
        </w:rPr>
        <w:t>" (</w:t>
      </w:r>
      <w:proofErr w:type="spellStart"/>
      <w:r w:rsidRPr="00860801">
        <w:rPr>
          <w:rFonts w:ascii="Cambria" w:hAnsi="Cambria" w:cs="Tahoma"/>
        </w:rPr>
        <w:t>Kuncoro</w:t>
      </w:r>
      <w:proofErr w:type="spellEnd"/>
      <w:r w:rsidRPr="00860801">
        <w:rPr>
          <w:rFonts w:ascii="Cambria" w:hAnsi="Cambria" w:cs="Tahoma"/>
        </w:rPr>
        <w:t xml:space="preserve">, 2011). To see whether the variables in the study have a causal relationship, it can be seen in the value of α (alpha). </w:t>
      </w:r>
      <w:r w:rsidR="00E34A02" w:rsidRPr="00860801">
        <w:rPr>
          <w:rFonts w:ascii="Cambria" w:hAnsi="Cambria" w:cs="Tahoma"/>
        </w:rPr>
        <w:fldChar w:fldCharType="begin" w:fldLock="1"/>
      </w:r>
      <w:r w:rsidR="00E34A02" w:rsidRPr="00860801">
        <w:rPr>
          <w:rFonts w:ascii="Cambria" w:hAnsi="Cambria" w:cs="Tahoma"/>
        </w:rPr>
        <w:instrText>ADDIN CSL_CITATION {"citationItems":[{"id":"ITEM-1","itemData":{"ISBN":"979-602-7577-31-2","author":[{"dropping-particle":"","family":"Basuki","given":"Agus Tri","non-dropping-particle":"","parse-names":false,"suffix":""},{"dropping-particle":"","family":"Yuliadi","given":"Imamudin","non-dropping-particle":"","parse-names":false,"suffix":""}],"id":"ITEM-1","issued":{"date-parts":[["2014"]]},"publisher":"Penerbit Danisa Media Yogyakarta","publisher-place":"Yogyakarta","title":"ELECTRONIC DATA PROCESSING (SPSS 15 DAN EVIEWS 7)","type":"book"},"uris":["http://www.mendeley.com/documents/?uuid=c916b8a0-4eef-4424-8771-fd1e1640a34d"]}],"mendeley":{"formattedCitation":"(Basuki &amp; Yuliadi, 2014)","plainTextFormattedCitation":"(Basuki &amp; Yuliadi, 2014)","previouslyFormattedCitation":"(Basuki &amp; Yuliadi, 2014)"},"properties":{"noteIndex":0},"schema":"https://github.com/citation-style-language/schema/raw/master/csl-citation.json"}</w:instrText>
      </w:r>
      <w:r w:rsidR="00E34A02" w:rsidRPr="00860801">
        <w:rPr>
          <w:rFonts w:ascii="Cambria" w:hAnsi="Cambria" w:cs="Tahoma"/>
        </w:rPr>
        <w:fldChar w:fldCharType="separate"/>
      </w:r>
      <w:r w:rsidR="00E34A02" w:rsidRPr="00860801">
        <w:rPr>
          <w:rFonts w:ascii="Cambria" w:hAnsi="Cambria" w:cs="Tahoma"/>
          <w:noProof/>
        </w:rPr>
        <w:t xml:space="preserve">(Basuki &amp; Yuliadi, 2014) </w:t>
      </w:r>
      <w:r w:rsidR="00E34A02" w:rsidRPr="00860801">
        <w:rPr>
          <w:rFonts w:ascii="Cambria" w:hAnsi="Cambria" w:cs="Tahoma"/>
        </w:rPr>
        <w:fldChar w:fldCharType="end"/>
      </w:r>
      <w:r w:rsidR="00E34A02" w:rsidRPr="00860801">
        <w:rPr>
          <w:rFonts w:ascii="Cambria" w:hAnsi="Cambria" w:cs="Tahoma"/>
        </w:rPr>
        <w:t>Explains that if the probability value is less than α, then H0 is rejected, which means that there is a causal relationship in each variable or the variables become leading indicators (indicators that affect price changes), and vice versa.</w:t>
      </w:r>
    </w:p>
    <w:p w:rsidR="00235863" w:rsidRPr="00860801" w:rsidRDefault="00F35E8B" w:rsidP="0079353C">
      <w:pPr>
        <w:pStyle w:val="ListParagraph"/>
        <w:numPr>
          <w:ilvl w:val="0"/>
          <w:numId w:val="3"/>
        </w:numPr>
        <w:spacing w:after="0" w:line="360" w:lineRule="auto"/>
        <w:jc w:val="both"/>
        <w:rPr>
          <w:rFonts w:ascii="Cambria" w:hAnsi="Cambria" w:cs="Tahoma"/>
        </w:rPr>
      </w:pPr>
      <w:r w:rsidRPr="00860801">
        <w:rPr>
          <w:rFonts w:ascii="Cambria" w:hAnsi="Cambria" w:cs="Tahoma"/>
        </w:rPr>
        <w:t>Impulse Response Function Analysis</w:t>
      </w:r>
    </w:p>
    <w:p w:rsidR="00074C14" w:rsidRPr="00860801" w:rsidRDefault="00F35E8B" w:rsidP="00074C14">
      <w:pPr>
        <w:pStyle w:val="ListParagraph"/>
        <w:spacing w:after="0" w:line="360" w:lineRule="auto"/>
        <w:ind w:firstLine="720"/>
        <w:jc w:val="both"/>
        <w:rPr>
          <w:rFonts w:ascii="Cambria" w:hAnsi="Cambria" w:cs="Tahoma"/>
        </w:rPr>
      </w:pPr>
      <w:r w:rsidRPr="00860801">
        <w:rPr>
          <w:rFonts w:ascii="Cambria" w:hAnsi="Cambria" w:cs="Tahoma"/>
        </w:rPr>
        <w:t xml:space="preserve">The function of Impulse Response is to see the response of endogenous variables from time to time to certain variable shocks and how long these shocks occur </w:t>
      </w:r>
      <w:r w:rsidR="00E34A02" w:rsidRPr="00860801">
        <w:rPr>
          <w:rFonts w:ascii="Cambria" w:hAnsi="Cambria" w:cs="Tahoma"/>
        </w:rPr>
        <w:fldChar w:fldCharType="begin" w:fldLock="1"/>
      </w:r>
      <w:r w:rsidR="0044684E" w:rsidRPr="00860801">
        <w:rPr>
          <w:rFonts w:ascii="Cambria" w:hAnsi="Cambria" w:cs="Tahoma"/>
        </w:rPr>
        <w:instrText>ADDIN CSL_CITATION {"citationItems":[{"id":"ITEM-1","itemData":{"ISBN":"979-602-7577-31-2","author":[{"dropping-particle":"","family":"Basuki","given":"Agus Tri","non-dropping-particle":"","parse-names":false,"suffix":""},{"dropping-particle":"","family":"Yuliadi","given":"Imamudin","non-dropping-particle":"","parse-names":false,"suffix":""}],"id":"ITEM-1","issued":{"date-parts":[["2014"]]},"publisher":"Penerbit Danisa Media Yogyakarta","publisher-place":"Yogyakarta","title":"ELECTRONIC DATA PROCESSING (SPSS 15 DAN EVIEWS 7)","type":"book"},"uris":["http://www.mendeley.com/documents/?uuid=c916b8a0-4eef-4424-8771-fd1e1640a34d"]}],"mendeley":{"formattedCitation":"(Basuki &amp; Yuliadi, 2014)","plainTextFormattedCitation":"(Basuki &amp; Yuliadi, 2014)","previouslyFormattedCitation":"(Basuki &amp; Yuliadi, 2014)"},"properties":{"noteIndex":0},"schema":"https://github.com/citation-style-language/schema/raw/master/csl-citation.json"}</w:instrText>
      </w:r>
      <w:r w:rsidR="00E34A02" w:rsidRPr="00860801">
        <w:rPr>
          <w:rFonts w:ascii="Cambria" w:hAnsi="Cambria" w:cs="Tahoma"/>
        </w:rPr>
        <w:fldChar w:fldCharType="separate"/>
      </w:r>
      <w:r w:rsidR="00E34A02" w:rsidRPr="00860801">
        <w:rPr>
          <w:rFonts w:ascii="Cambria" w:hAnsi="Cambria" w:cs="Tahoma"/>
          <w:noProof/>
        </w:rPr>
        <w:t>(Basuki &amp; Yuliadi, 2014)</w:t>
      </w:r>
      <w:r w:rsidR="00E34A02" w:rsidRPr="00860801">
        <w:rPr>
          <w:rFonts w:ascii="Cambria" w:hAnsi="Cambria" w:cs="Tahoma"/>
        </w:rPr>
        <w:fldChar w:fldCharType="end"/>
      </w:r>
    </w:p>
    <w:p w:rsidR="00235863" w:rsidRPr="00860801" w:rsidRDefault="00235863" w:rsidP="00235863">
      <w:pPr>
        <w:spacing w:after="0" w:line="360" w:lineRule="auto"/>
        <w:jc w:val="both"/>
        <w:rPr>
          <w:rFonts w:ascii="Cambria" w:hAnsi="Cambria" w:cs="Tahoma"/>
        </w:rPr>
      </w:pPr>
    </w:p>
    <w:p w:rsidR="00235863" w:rsidRPr="00860801" w:rsidRDefault="00F35E8B" w:rsidP="00235863">
      <w:pPr>
        <w:spacing w:after="0" w:line="360" w:lineRule="auto"/>
        <w:jc w:val="both"/>
        <w:rPr>
          <w:rFonts w:ascii="Cambria" w:hAnsi="Cambria" w:cs="Tahoma"/>
          <w:b/>
        </w:rPr>
      </w:pPr>
      <w:r w:rsidRPr="00860801">
        <w:rPr>
          <w:rFonts w:ascii="Cambria" w:hAnsi="Cambria" w:cs="Tahoma"/>
          <w:b/>
        </w:rPr>
        <w:t>Research Results and Discussion</w:t>
      </w:r>
    </w:p>
    <w:p w:rsidR="00F71435" w:rsidRPr="00860801" w:rsidRDefault="00F35E8B" w:rsidP="00D83B56">
      <w:pPr>
        <w:pStyle w:val="ListParagraph"/>
        <w:numPr>
          <w:ilvl w:val="0"/>
          <w:numId w:val="5"/>
        </w:numPr>
        <w:spacing w:after="0" w:line="360" w:lineRule="auto"/>
        <w:ind w:left="426"/>
        <w:jc w:val="both"/>
        <w:rPr>
          <w:rFonts w:ascii="Cambria" w:hAnsi="Cambria" w:cs="Tahoma"/>
          <w:b/>
        </w:rPr>
      </w:pPr>
      <w:proofErr w:type="spellStart"/>
      <w:r w:rsidRPr="00860801">
        <w:rPr>
          <w:rFonts w:ascii="Cambria" w:hAnsi="Cambria" w:cs="Tahoma"/>
          <w:b/>
        </w:rPr>
        <w:t>Stationarity</w:t>
      </w:r>
      <w:proofErr w:type="spellEnd"/>
      <w:r w:rsidRPr="00860801">
        <w:rPr>
          <w:rFonts w:ascii="Cambria" w:hAnsi="Cambria" w:cs="Tahoma"/>
          <w:b/>
        </w:rPr>
        <w:t xml:space="preserve"> Test Results (Augmented Dickey-Fuller (ADF))</w:t>
      </w:r>
    </w:p>
    <w:p w:rsidR="00F97264" w:rsidRDefault="00F97264" w:rsidP="004E3B56">
      <w:pPr>
        <w:spacing w:after="0" w:line="360" w:lineRule="auto"/>
        <w:jc w:val="center"/>
        <w:rPr>
          <w:rFonts w:ascii="Cambria" w:hAnsi="Cambria" w:cs="Tahoma"/>
          <w:b/>
        </w:rPr>
      </w:pPr>
    </w:p>
    <w:p w:rsidR="004E3B56" w:rsidRPr="00860801" w:rsidRDefault="00F35E8B" w:rsidP="004E3B56">
      <w:pPr>
        <w:spacing w:after="0" w:line="360" w:lineRule="auto"/>
        <w:jc w:val="center"/>
        <w:rPr>
          <w:rFonts w:ascii="Cambria" w:hAnsi="Cambria" w:cs="Tahoma"/>
          <w:b/>
        </w:rPr>
      </w:pPr>
      <w:r w:rsidRPr="00860801">
        <w:rPr>
          <w:rFonts w:ascii="Cambria" w:hAnsi="Cambria" w:cs="Tahoma"/>
          <w:b/>
        </w:rPr>
        <w:t>Table</w:t>
      </w:r>
      <w:r w:rsidR="00F97264">
        <w:rPr>
          <w:rFonts w:ascii="Cambria" w:hAnsi="Cambria" w:cs="Tahoma"/>
          <w:b/>
          <w:lang w:val="id-ID"/>
        </w:rPr>
        <w:t xml:space="preserve"> 1. </w:t>
      </w:r>
      <w:r w:rsidRPr="00860801">
        <w:rPr>
          <w:rFonts w:ascii="Cambria" w:hAnsi="Cambria" w:cs="Tahoma"/>
          <w:b/>
        </w:rPr>
        <w:t>The ADF test results use the intercept at the level and first difference</w:t>
      </w:r>
    </w:p>
    <w:tbl>
      <w:tblPr>
        <w:tblStyle w:val="TableGrid"/>
        <w:tblW w:w="4957"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559"/>
        <w:gridCol w:w="1985"/>
      </w:tblGrid>
      <w:tr w:rsidR="006C0232" w:rsidRPr="00860801" w:rsidTr="00F71AC2">
        <w:trPr>
          <w:jc w:val="center"/>
        </w:trPr>
        <w:tc>
          <w:tcPr>
            <w:tcW w:w="1413" w:type="dxa"/>
            <w:tcBorders>
              <w:top w:val="single" w:sz="4" w:space="0" w:color="auto"/>
              <w:bottom w:val="single" w:sz="4" w:space="0" w:color="auto"/>
            </w:tcBorders>
          </w:tcPr>
          <w:p w:rsidR="00F71AC2" w:rsidRPr="00860801" w:rsidRDefault="00F35E8B" w:rsidP="004E3B56">
            <w:pPr>
              <w:spacing w:line="360" w:lineRule="auto"/>
              <w:rPr>
                <w:rFonts w:ascii="Cambria" w:hAnsi="Cambria" w:cs="Tahoma"/>
                <w:sz w:val="20"/>
                <w:szCs w:val="20"/>
              </w:rPr>
            </w:pPr>
            <w:r w:rsidRPr="00860801">
              <w:rPr>
                <w:rFonts w:ascii="Cambria" w:hAnsi="Cambria" w:cs="Tahoma"/>
                <w:sz w:val="20"/>
                <w:szCs w:val="20"/>
              </w:rPr>
              <w:t>Variables</w:t>
            </w:r>
          </w:p>
        </w:tc>
        <w:tc>
          <w:tcPr>
            <w:tcW w:w="1559" w:type="dxa"/>
            <w:tcBorders>
              <w:top w:val="single" w:sz="4" w:space="0" w:color="auto"/>
              <w:bottom w:val="single" w:sz="4" w:space="0" w:color="auto"/>
            </w:tcBorders>
          </w:tcPr>
          <w:p w:rsidR="00F71AC2" w:rsidRPr="00860801" w:rsidRDefault="00F35E8B" w:rsidP="004E3B56">
            <w:pPr>
              <w:spacing w:line="360" w:lineRule="auto"/>
              <w:rPr>
                <w:rFonts w:ascii="Cambria" w:hAnsi="Cambria" w:cs="Tahoma"/>
                <w:sz w:val="20"/>
                <w:szCs w:val="20"/>
              </w:rPr>
            </w:pPr>
            <w:r w:rsidRPr="00860801">
              <w:rPr>
                <w:rFonts w:ascii="Cambria" w:hAnsi="Cambria" w:cs="Tahoma"/>
                <w:sz w:val="20"/>
                <w:szCs w:val="20"/>
              </w:rPr>
              <w:t>Prob. Levels</w:t>
            </w:r>
          </w:p>
        </w:tc>
        <w:tc>
          <w:tcPr>
            <w:tcW w:w="1985" w:type="dxa"/>
            <w:tcBorders>
              <w:top w:val="single" w:sz="4" w:space="0" w:color="auto"/>
              <w:bottom w:val="single" w:sz="4" w:space="0" w:color="auto"/>
            </w:tcBorders>
          </w:tcPr>
          <w:p w:rsidR="00F71AC2" w:rsidRPr="00860801" w:rsidRDefault="00F35E8B" w:rsidP="004E3B56">
            <w:pPr>
              <w:spacing w:line="360" w:lineRule="auto"/>
              <w:rPr>
                <w:rFonts w:ascii="Cambria" w:hAnsi="Cambria" w:cs="Tahoma"/>
                <w:sz w:val="20"/>
                <w:szCs w:val="20"/>
              </w:rPr>
            </w:pPr>
            <w:r w:rsidRPr="00860801">
              <w:rPr>
                <w:rFonts w:ascii="Cambria" w:hAnsi="Cambria" w:cs="Tahoma"/>
                <w:sz w:val="20"/>
                <w:szCs w:val="20"/>
              </w:rPr>
              <w:t>Prob. 1st Difference</w:t>
            </w:r>
          </w:p>
        </w:tc>
      </w:tr>
      <w:tr w:rsidR="006C0232" w:rsidRPr="00860801" w:rsidTr="00F71AC2">
        <w:trPr>
          <w:jc w:val="center"/>
        </w:trPr>
        <w:tc>
          <w:tcPr>
            <w:tcW w:w="1413" w:type="dxa"/>
            <w:tcBorders>
              <w:top w:val="single" w:sz="4" w:space="0" w:color="auto"/>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P</w:t>
            </w:r>
          </w:p>
        </w:tc>
        <w:tc>
          <w:tcPr>
            <w:tcW w:w="1559" w:type="dxa"/>
            <w:tcBorders>
              <w:top w:val="single" w:sz="4" w:space="0" w:color="auto"/>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0.0087</w:t>
            </w:r>
          </w:p>
        </w:tc>
        <w:tc>
          <w:tcPr>
            <w:tcW w:w="1985" w:type="dxa"/>
            <w:tcBorders>
              <w:top w:val="single" w:sz="4" w:space="0" w:color="auto"/>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r>
      <w:tr w:rsidR="006C0232" w:rsidRPr="00860801" w:rsidTr="00F71AC2">
        <w:trPr>
          <w:jc w:val="center"/>
        </w:trPr>
        <w:tc>
          <w:tcPr>
            <w:tcW w:w="1413"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TA</w:t>
            </w:r>
          </w:p>
        </w:tc>
        <w:tc>
          <w:tcPr>
            <w:tcW w:w="1559"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0.7297</w:t>
            </w:r>
          </w:p>
        </w:tc>
        <w:tc>
          <w:tcPr>
            <w:tcW w:w="1985"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r>
      <w:tr w:rsidR="006C0232" w:rsidRPr="00860801" w:rsidTr="00F71AC2">
        <w:trPr>
          <w:jc w:val="center"/>
        </w:trPr>
        <w:tc>
          <w:tcPr>
            <w:tcW w:w="1413"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DPK</w:t>
            </w:r>
          </w:p>
        </w:tc>
        <w:tc>
          <w:tcPr>
            <w:tcW w:w="1559"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c>
          <w:tcPr>
            <w:tcW w:w="1985"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r>
      <w:tr w:rsidR="006C0232" w:rsidRPr="00860801" w:rsidTr="00F71AC2">
        <w:trPr>
          <w:jc w:val="center"/>
        </w:trPr>
        <w:tc>
          <w:tcPr>
            <w:tcW w:w="1413"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NOM</w:t>
            </w:r>
          </w:p>
        </w:tc>
        <w:tc>
          <w:tcPr>
            <w:tcW w:w="1559"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0.0170*</w:t>
            </w:r>
          </w:p>
        </w:tc>
        <w:tc>
          <w:tcPr>
            <w:tcW w:w="1985"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r>
      <w:tr w:rsidR="006C0232" w:rsidRPr="00860801" w:rsidTr="00F71AC2">
        <w:trPr>
          <w:jc w:val="center"/>
        </w:trPr>
        <w:tc>
          <w:tcPr>
            <w:tcW w:w="1413"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FDR</w:t>
            </w:r>
          </w:p>
        </w:tc>
        <w:tc>
          <w:tcPr>
            <w:tcW w:w="1559"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0.5823</w:t>
            </w:r>
          </w:p>
        </w:tc>
        <w:tc>
          <w:tcPr>
            <w:tcW w:w="1985"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r>
      <w:tr w:rsidR="006C0232" w:rsidRPr="00860801" w:rsidTr="00F71AC2">
        <w:trPr>
          <w:jc w:val="center"/>
        </w:trPr>
        <w:tc>
          <w:tcPr>
            <w:tcW w:w="1413"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NPF</w:t>
            </w:r>
          </w:p>
        </w:tc>
        <w:tc>
          <w:tcPr>
            <w:tcW w:w="1559"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0.5697</w:t>
            </w:r>
          </w:p>
        </w:tc>
        <w:tc>
          <w:tcPr>
            <w:tcW w:w="1985"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r>
      <w:tr w:rsidR="006C0232" w:rsidRPr="00860801" w:rsidTr="00F71AC2">
        <w:trPr>
          <w:jc w:val="center"/>
        </w:trPr>
        <w:tc>
          <w:tcPr>
            <w:tcW w:w="1413"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ROA</w:t>
            </w:r>
          </w:p>
        </w:tc>
        <w:tc>
          <w:tcPr>
            <w:tcW w:w="1559"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0.0775</w:t>
            </w:r>
          </w:p>
        </w:tc>
        <w:tc>
          <w:tcPr>
            <w:tcW w:w="1985"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r>
      <w:tr w:rsidR="006C0232" w:rsidRPr="00860801" w:rsidTr="00F71AC2">
        <w:trPr>
          <w:jc w:val="center"/>
        </w:trPr>
        <w:tc>
          <w:tcPr>
            <w:tcW w:w="1413"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ERPMUDH</w:t>
            </w:r>
          </w:p>
        </w:tc>
        <w:tc>
          <w:tcPr>
            <w:tcW w:w="1559"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0.7333</w:t>
            </w:r>
          </w:p>
        </w:tc>
        <w:tc>
          <w:tcPr>
            <w:tcW w:w="1985"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r>
      <w:tr w:rsidR="006C0232" w:rsidRPr="00860801" w:rsidTr="00F71AC2">
        <w:trPr>
          <w:jc w:val="center"/>
        </w:trPr>
        <w:tc>
          <w:tcPr>
            <w:tcW w:w="1413"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ERPMUSY</w:t>
            </w:r>
          </w:p>
        </w:tc>
        <w:tc>
          <w:tcPr>
            <w:tcW w:w="1559"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0.9216</w:t>
            </w:r>
          </w:p>
        </w:tc>
        <w:tc>
          <w:tcPr>
            <w:tcW w:w="1985"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r>
      <w:tr w:rsidR="006C0232" w:rsidRPr="00860801" w:rsidTr="00F71AC2">
        <w:trPr>
          <w:jc w:val="center"/>
        </w:trPr>
        <w:tc>
          <w:tcPr>
            <w:tcW w:w="1413" w:type="dxa"/>
            <w:tcBorders>
              <w:top w:val="nil"/>
            </w:tcBorders>
          </w:tcPr>
          <w:p w:rsidR="00F71AC2" w:rsidRPr="00860801" w:rsidRDefault="00F35E8B" w:rsidP="0025682D">
            <w:pPr>
              <w:spacing w:line="360" w:lineRule="auto"/>
              <w:jc w:val="both"/>
              <w:rPr>
                <w:rFonts w:ascii="Cambria" w:hAnsi="Cambria" w:cs="Tahoma"/>
                <w:sz w:val="20"/>
                <w:szCs w:val="20"/>
              </w:rPr>
            </w:pPr>
            <w:proofErr w:type="spellStart"/>
            <w:r w:rsidRPr="00860801">
              <w:rPr>
                <w:rFonts w:ascii="Cambria" w:hAnsi="Cambria" w:cs="Tahoma"/>
                <w:sz w:val="20"/>
                <w:szCs w:val="20"/>
              </w:rPr>
              <w:t>Birate</w:t>
            </w:r>
            <w:proofErr w:type="spellEnd"/>
          </w:p>
        </w:tc>
        <w:tc>
          <w:tcPr>
            <w:tcW w:w="1559"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0.0551</w:t>
            </w:r>
          </w:p>
        </w:tc>
        <w:tc>
          <w:tcPr>
            <w:tcW w:w="1985" w:type="dxa"/>
            <w:tcBorders>
              <w:top w:val="nil"/>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r>
      <w:tr w:rsidR="006C0232" w:rsidRPr="00860801" w:rsidTr="00F71AC2">
        <w:trPr>
          <w:jc w:val="center"/>
        </w:trPr>
        <w:tc>
          <w:tcPr>
            <w:tcW w:w="1413" w:type="dxa"/>
            <w:tcBorders>
              <w:top w:val="nil"/>
              <w:bottom w:val="single" w:sz="4" w:space="0" w:color="auto"/>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Inflation</w:t>
            </w:r>
          </w:p>
        </w:tc>
        <w:tc>
          <w:tcPr>
            <w:tcW w:w="1559" w:type="dxa"/>
            <w:tcBorders>
              <w:top w:val="nil"/>
              <w:bottom w:val="single" w:sz="4" w:space="0" w:color="auto"/>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0.5823</w:t>
            </w:r>
          </w:p>
        </w:tc>
        <w:tc>
          <w:tcPr>
            <w:tcW w:w="1985" w:type="dxa"/>
            <w:tcBorders>
              <w:top w:val="nil"/>
              <w:bottom w:val="single" w:sz="4" w:space="0" w:color="auto"/>
            </w:tcBorders>
          </w:tcPr>
          <w:p w:rsidR="00F71AC2" w:rsidRPr="00860801" w:rsidRDefault="00F35E8B" w:rsidP="0025682D">
            <w:pPr>
              <w:spacing w:line="360" w:lineRule="auto"/>
              <w:jc w:val="both"/>
              <w:rPr>
                <w:rFonts w:ascii="Cambria" w:hAnsi="Cambria" w:cs="Tahoma"/>
                <w:sz w:val="20"/>
                <w:szCs w:val="20"/>
              </w:rPr>
            </w:pPr>
            <w:r w:rsidRPr="00860801">
              <w:rPr>
                <w:rFonts w:ascii="Cambria" w:hAnsi="Cambria" w:cs="Tahoma"/>
                <w:sz w:val="20"/>
                <w:szCs w:val="20"/>
              </w:rPr>
              <w:t>0.0000*</w:t>
            </w:r>
          </w:p>
        </w:tc>
      </w:tr>
    </w:tbl>
    <w:p w:rsidR="00F71435" w:rsidRPr="00F97264" w:rsidRDefault="00F35E8B" w:rsidP="00F71AC2">
      <w:pPr>
        <w:spacing w:after="0" w:line="360" w:lineRule="auto"/>
        <w:ind w:left="720" w:firstLine="720"/>
        <w:jc w:val="both"/>
        <w:rPr>
          <w:rFonts w:ascii="Cambria" w:hAnsi="Cambria" w:cs="Tahoma"/>
          <w:sz w:val="20"/>
          <w:szCs w:val="20"/>
        </w:rPr>
      </w:pPr>
      <w:r w:rsidRPr="00F97264">
        <w:rPr>
          <w:rFonts w:ascii="Cambria" w:hAnsi="Cambria" w:cs="Tahoma"/>
          <w:sz w:val="20"/>
          <w:szCs w:val="20"/>
        </w:rPr>
        <w:t>*Stationary Data</w:t>
      </w:r>
    </w:p>
    <w:p w:rsidR="00F71AC2" w:rsidRPr="00F97264" w:rsidRDefault="00F35E8B" w:rsidP="00F71AC2">
      <w:pPr>
        <w:spacing w:after="0" w:line="360" w:lineRule="auto"/>
        <w:ind w:left="720" w:firstLine="720"/>
        <w:jc w:val="both"/>
        <w:rPr>
          <w:rFonts w:ascii="Cambria" w:hAnsi="Cambria" w:cs="Tahoma"/>
          <w:sz w:val="20"/>
          <w:szCs w:val="20"/>
        </w:rPr>
      </w:pPr>
      <w:r w:rsidRPr="00F97264">
        <w:rPr>
          <w:rFonts w:ascii="Cambria" w:hAnsi="Cambria" w:cs="Tahoma"/>
          <w:sz w:val="20"/>
          <w:szCs w:val="20"/>
        </w:rPr>
        <w:t>Source: Data processed in 2022</w:t>
      </w:r>
    </w:p>
    <w:p w:rsidR="004E3B56" w:rsidRPr="00F97264" w:rsidRDefault="00F35E8B" w:rsidP="001F2144">
      <w:pPr>
        <w:spacing w:after="0" w:line="360" w:lineRule="auto"/>
        <w:ind w:firstLine="709"/>
        <w:jc w:val="both"/>
        <w:rPr>
          <w:rFonts w:ascii="Cambria" w:hAnsi="Cambria" w:cs="Tahoma"/>
        </w:rPr>
      </w:pPr>
      <w:r w:rsidRPr="00F97264">
        <w:rPr>
          <w:rFonts w:ascii="Cambria" w:hAnsi="Cambria" w:cs="Tahoma"/>
        </w:rPr>
        <w:t xml:space="preserve">From the test results, the unit root test in this research model is based on the Augmented Dickey-Fuller (ADF) test at the level and first difference levels. If the probability on the ADF Test &lt; </w:t>
      </w:r>
      <w:proofErr w:type="spellStart"/>
      <w:r w:rsidRPr="00F97264">
        <w:rPr>
          <w:rFonts w:ascii="Cambria" w:hAnsi="Cambria" w:cs="Tahoma"/>
        </w:rPr>
        <w:t>Mc</w:t>
      </w:r>
      <w:proofErr w:type="spellEnd"/>
      <w:r w:rsidRPr="00F97264">
        <w:rPr>
          <w:rFonts w:ascii="Cambria" w:hAnsi="Cambria" w:cs="Tahoma"/>
        </w:rPr>
        <w:t xml:space="preserve"> </w:t>
      </w:r>
      <w:proofErr w:type="spellStart"/>
      <w:r w:rsidRPr="00F97264">
        <w:rPr>
          <w:rFonts w:ascii="Cambria" w:hAnsi="Cambria" w:cs="Tahoma"/>
        </w:rPr>
        <w:t>Kinon</w:t>
      </w:r>
      <w:proofErr w:type="spellEnd"/>
      <w:r w:rsidRPr="00F97264">
        <w:rPr>
          <w:rFonts w:ascii="Cambria" w:hAnsi="Cambria" w:cs="Tahoma"/>
        </w:rPr>
        <w:t xml:space="preserve"> Critical Value is at a critical value of 5% and if seen from the probability level of the first difference, then all variables are below 0.05, then the time series data is stationary. Based on the results of the unit root test at the level and first difference, as we know in the table, it was found that at the level, three variables were stationary, which means that in the original research data, only three variables were stationary at the level, while the other variables were not stationary. Thus, it is necessary to carry out a unit root test at the first difference level. It was found that at the first difference level, where the probability for each variable was &lt;0.05 so that the time series data used in this study were stationary at the first difference level.</w:t>
      </w:r>
    </w:p>
    <w:p w:rsidR="00073F87" w:rsidRPr="00F97264" w:rsidRDefault="00F35E8B" w:rsidP="00F07630">
      <w:pPr>
        <w:spacing w:after="0" w:line="360" w:lineRule="auto"/>
        <w:ind w:firstLine="709"/>
        <w:jc w:val="both"/>
        <w:rPr>
          <w:rFonts w:ascii="Cambria" w:hAnsi="Cambria" w:cs="Tahoma"/>
        </w:rPr>
      </w:pPr>
      <w:r w:rsidRPr="00F97264">
        <w:rPr>
          <w:rFonts w:ascii="Cambria" w:hAnsi="Cambria" w:cs="Tahoma"/>
        </w:rPr>
        <w:t>Before forming the VAR model, it is necessary to determine the optimum lag length because the exogenous variables used are none other than the lag of the endogenous variables and also the exogenous variables. Then proceed with testing the optimum lag, and the results show that the optimum lag in this test is 3.</w:t>
      </w:r>
    </w:p>
    <w:p w:rsidR="00736488" w:rsidRPr="00F97264" w:rsidRDefault="00F35E8B" w:rsidP="00D83B56">
      <w:pPr>
        <w:pStyle w:val="ListParagraph"/>
        <w:numPr>
          <w:ilvl w:val="0"/>
          <w:numId w:val="5"/>
        </w:numPr>
        <w:spacing w:after="0" w:line="360" w:lineRule="auto"/>
        <w:ind w:left="426"/>
        <w:jc w:val="both"/>
        <w:rPr>
          <w:rFonts w:ascii="Cambria" w:hAnsi="Cambria" w:cs="Tahoma"/>
          <w:b/>
        </w:rPr>
      </w:pPr>
      <w:r w:rsidRPr="00F97264">
        <w:rPr>
          <w:rFonts w:ascii="Cambria" w:hAnsi="Cambria" w:cs="Tahoma"/>
          <w:b/>
        </w:rPr>
        <w:t>Lag Length Test</w:t>
      </w:r>
    </w:p>
    <w:p w:rsidR="001F2144" w:rsidRDefault="00F35E8B" w:rsidP="00F07630">
      <w:pPr>
        <w:spacing w:after="0" w:line="360" w:lineRule="auto"/>
        <w:ind w:firstLine="709"/>
        <w:jc w:val="both"/>
        <w:rPr>
          <w:rFonts w:ascii="Cambria" w:hAnsi="Cambria" w:cs="Tahoma"/>
        </w:rPr>
      </w:pPr>
      <w:r w:rsidRPr="00F97264">
        <w:rPr>
          <w:rFonts w:ascii="Cambria" w:hAnsi="Cambria" w:cs="Tahoma"/>
        </w:rPr>
        <w:lastRenderedPageBreak/>
        <w:t xml:space="preserve">Before forming the VAR model, it is necessary to determine the optimum lag length </w:t>
      </w:r>
      <w:r w:rsidR="001332CA" w:rsidRPr="00F97264">
        <w:rPr>
          <w:rFonts w:ascii="Cambria" w:hAnsi="Cambria" w:cs="Tahoma"/>
        </w:rPr>
        <w:t>because the causality test and VAR test are very sensitive to the optimal lag length. Then proceed with testing the optimum lag, and the results obtained from the optimum lag in this test are:</w:t>
      </w:r>
    </w:p>
    <w:p w:rsidR="00F97264" w:rsidRPr="00F97264" w:rsidRDefault="00F97264" w:rsidP="00F07630">
      <w:pPr>
        <w:spacing w:after="0" w:line="360" w:lineRule="auto"/>
        <w:ind w:firstLine="709"/>
        <w:jc w:val="both"/>
        <w:rPr>
          <w:rFonts w:ascii="Cambria" w:hAnsi="Cambria" w:cs="Tahoma"/>
        </w:rPr>
      </w:pPr>
    </w:p>
    <w:p w:rsidR="00736488" w:rsidRPr="00002900" w:rsidRDefault="00F35E8B" w:rsidP="00F97264">
      <w:pPr>
        <w:spacing w:after="0" w:line="360" w:lineRule="auto"/>
        <w:rPr>
          <w:rFonts w:ascii="Cambria" w:hAnsi="Cambria" w:cs="Tahoma"/>
          <w:b/>
          <w:sz w:val="24"/>
          <w:szCs w:val="24"/>
        </w:rPr>
      </w:pPr>
      <w:r w:rsidRPr="00002900">
        <w:rPr>
          <w:rFonts w:ascii="Cambria" w:hAnsi="Cambria" w:cs="Tahoma"/>
          <w:b/>
          <w:sz w:val="24"/>
          <w:szCs w:val="24"/>
        </w:rPr>
        <w:t>Table</w:t>
      </w:r>
      <w:r w:rsidR="00F97264">
        <w:rPr>
          <w:rFonts w:ascii="Cambria" w:hAnsi="Cambria" w:cs="Tahoma"/>
          <w:b/>
          <w:sz w:val="24"/>
          <w:szCs w:val="24"/>
          <w:lang w:val="id-ID"/>
        </w:rPr>
        <w:t xml:space="preserve"> 2. </w:t>
      </w:r>
      <w:r w:rsidRPr="00002900">
        <w:rPr>
          <w:rFonts w:ascii="Cambria" w:hAnsi="Cambria" w:cs="Tahoma"/>
          <w:b/>
          <w:sz w:val="24"/>
          <w:szCs w:val="24"/>
        </w:rPr>
        <w:t>Lag Length Criteria</w:t>
      </w:r>
    </w:p>
    <w:tbl>
      <w:tblPr>
        <w:tblStyle w:val="TableGrid"/>
        <w:tblW w:w="8674" w:type="dxa"/>
        <w:jc w:val="center"/>
        <w:tblLayout w:type="fixed"/>
        <w:tblLook w:val="04A0" w:firstRow="1" w:lastRow="0" w:firstColumn="1" w:lastColumn="0" w:noHBand="0" w:noVBand="1"/>
      </w:tblPr>
      <w:tblGrid>
        <w:gridCol w:w="562"/>
        <w:gridCol w:w="1281"/>
        <w:gridCol w:w="1359"/>
        <w:gridCol w:w="1395"/>
        <w:gridCol w:w="1359"/>
        <w:gridCol w:w="1359"/>
        <w:gridCol w:w="1359"/>
      </w:tblGrid>
      <w:tr w:rsidR="006C0232" w:rsidRPr="00860801" w:rsidTr="00F71AC2">
        <w:trPr>
          <w:jc w:val="center"/>
        </w:trPr>
        <w:tc>
          <w:tcPr>
            <w:tcW w:w="562" w:type="dxa"/>
            <w:tcBorders>
              <w:top w:val="single" w:sz="4" w:space="0" w:color="auto"/>
              <w:left w:val="nil"/>
              <w:bottom w:val="single" w:sz="4" w:space="0" w:color="auto"/>
              <w:right w:val="nil"/>
            </w:tcBorders>
          </w:tcPr>
          <w:p w:rsidR="00BD5F69" w:rsidRPr="00860801" w:rsidRDefault="00F35E8B" w:rsidP="00DB4396">
            <w:pPr>
              <w:spacing w:line="360" w:lineRule="auto"/>
              <w:jc w:val="center"/>
              <w:rPr>
                <w:rFonts w:ascii="Cambria" w:hAnsi="Cambria" w:cs="Tahoma"/>
                <w:sz w:val="20"/>
                <w:szCs w:val="20"/>
              </w:rPr>
            </w:pPr>
            <w:r w:rsidRPr="00860801">
              <w:rPr>
                <w:rFonts w:ascii="Cambria" w:hAnsi="Cambria" w:cs="Tahoma"/>
                <w:sz w:val="20"/>
                <w:szCs w:val="20"/>
              </w:rPr>
              <w:t>lag</w:t>
            </w:r>
          </w:p>
        </w:tc>
        <w:tc>
          <w:tcPr>
            <w:tcW w:w="1281" w:type="dxa"/>
            <w:tcBorders>
              <w:top w:val="single" w:sz="4" w:space="0" w:color="auto"/>
              <w:left w:val="nil"/>
              <w:bottom w:val="single" w:sz="4" w:space="0" w:color="auto"/>
              <w:right w:val="nil"/>
            </w:tcBorders>
          </w:tcPr>
          <w:p w:rsidR="00BD5F69" w:rsidRPr="00860801" w:rsidRDefault="00F35E8B" w:rsidP="00DB4396">
            <w:pPr>
              <w:spacing w:line="360" w:lineRule="auto"/>
              <w:jc w:val="center"/>
              <w:rPr>
                <w:rFonts w:ascii="Cambria" w:hAnsi="Cambria" w:cs="Tahoma"/>
                <w:sz w:val="20"/>
                <w:szCs w:val="20"/>
              </w:rPr>
            </w:pPr>
            <w:proofErr w:type="spellStart"/>
            <w:r w:rsidRPr="00860801">
              <w:rPr>
                <w:rFonts w:ascii="Cambria" w:hAnsi="Cambria" w:cs="Tahoma"/>
                <w:sz w:val="20"/>
                <w:szCs w:val="20"/>
              </w:rPr>
              <w:t>LogL</w:t>
            </w:r>
            <w:proofErr w:type="spellEnd"/>
          </w:p>
        </w:tc>
        <w:tc>
          <w:tcPr>
            <w:tcW w:w="1359" w:type="dxa"/>
            <w:tcBorders>
              <w:top w:val="single" w:sz="4" w:space="0" w:color="auto"/>
              <w:left w:val="nil"/>
              <w:bottom w:val="single" w:sz="4" w:space="0" w:color="auto"/>
              <w:right w:val="nil"/>
            </w:tcBorders>
          </w:tcPr>
          <w:p w:rsidR="00BD5F69" w:rsidRPr="00860801" w:rsidRDefault="00F35E8B" w:rsidP="00DB4396">
            <w:pPr>
              <w:spacing w:line="360" w:lineRule="auto"/>
              <w:jc w:val="center"/>
              <w:rPr>
                <w:rFonts w:ascii="Cambria" w:hAnsi="Cambria" w:cs="Tahoma"/>
                <w:sz w:val="20"/>
                <w:szCs w:val="20"/>
              </w:rPr>
            </w:pPr>
            <w:r w:rsidRPr="00860801">
              <w:rPr>
                <w:rFonts w:ascii="Cambria" w:hAnsi="Cambria" w:cs="Tahoma"/>
                <w:sz w:val="20"/>
                <w:szCs w:val="20"/>
              </w:rPr>
              <w:t>LR</w:t>
            </w:r>
          </w:p>
        </w:tc>
        <w:tc>
          <w:tcPr>
            <w:tcW w:w="1395" w:type="dxa"/>
            <w:tcBorders>
              <w:top w:val="single" w:sz="4" w:space="0" w:color="auto"/>
              <w:left w:val="nil"/>
              <w:bottom w:val="single" w:sz="4" w:space="0" w:color="auto"/>
              <w:right w:val="nil"/>
            </w:tcBorders>
          </w:tcPr>
          <w:p w:rsidR="00BD5F69" w:rsidRPr="00860801" w:rsidRDefault="00F35E8B" w:rsidP="00DB4396">
            <w:pPr>
              <w:spacing w:line="360" w:lineRule="auto"/>
              <w:jc w:val="center"/>
              <w:rPr>
                <w:rFonts w:ascii="Cambria" w:hAnsi="Cambria" w:cs="Tahoma"/>
                <w:sz w:val="20"/>
                <w:szCs w:val="20"/>
              </w:rPr>
            </w:pPr>
            <w:r w:rsidRPr="00860801">
              <w:rPr>
                <w:rFonts w:ascii="Cambria" w:hAnsi="Cambria" w:cs="Tahoma"/>
                <w:sz w:val="20"/>
                <w:szCs w:val="20"/>
              </w:rPr>
              <w:t>FPE</w:t>
            </w:r>
          </w:p>
        </w:tc>
        <w:tc>
          <w:tcPr>
            <w:tcW w:w="1359" w:type="dxa"/>
            <w:tcBorders>
              <w:top w:val="single" w:sz="4" w:space="0" w:color="auto"/>
              <w:left w:val="nil"/>
              <w:bottom w:val="single" w:sz="4" w:space="0" w:color="auto"/>
              <w:right w:val="nil"/>
            </w:tcBorders>
          </w:tcPr>
          <w:p w:rsidR="00BD5F69" w:rsidRPr="00860801" w:rsidRDefault="00F35E8B" w:rsidP="00DB4396">
            <w:pPr>
              <w:spacing w:line="360" w:lineRule="auto"/>
              <w:jc w:val="center"/>
              <w:rPr>
                <w:rFonts w:ascii="Cambria" w:hAnsi="Cambria" w:cs="Tahoma"/>
                <w:sz w:val="20"/>
                <w:szCs w:val="20"/>
              </w:rPr>
            </w:pPr>
            <w:r w:rsidRPr="00860801">
              <w:rPr>
                <w:rFonts w:ascii="Cambria" w:hAnsi="Cambria" w:cs="Tahoma"/>
                <w:sz w:val="20"/>
                <w:szCs w:val="20"/>
              </w:rPr>
              <w:t>AIC</w:t>
            </w:r>
          </w:p>
        </w:tc>
        <w:tc>
          <w:tcPr>
            <w:tcW w:w="1359" w:type="dxa"/>
            <w:tcBorders>
              <w:top w:val="single" w:sz="4" w:space="0" w:color="auto"/>
              <w:left w:val="nil"/>
              <w:bottom w:val="single" w:sz="4" w:space="0" w:color="auto"/>
              <w:right w:val="nil"/>
            </w:tcBorders>
          </w:tcPr>
          <w:p w:rsidR="00BD5F69" w:rsidRPr="00860801" w:rsidRDefault="00F35E8B" w:rsidP="00DB4396">
            <w:pPr>
              <w:spacing w:line="360" w:lineRule="auto"/>
              <w:jc w:val="center"/>
              <w:rPr>
                <w:rFonts w:ascii="Cambria" w:hAnsi="Cambria" w:cs="Tahoma"/>
                <w:sz w:val="20"/>
                <w:szCs w:val="20"/>
              </w:rPr>
            </w:pPr>
            <w:r w:rsidRPr="00860801">
              <w:rPr>
                <w:rFonts w:ascii="Cambria" w:hAnsi="Cambria" w:cs="Tahoma"/>
                <w:sz w:val="20"/>
                <w:szCs w:val="20"/>
              </w:rPr>
              <w:t>SC</w:t>
            </w:r>
          </w:p>
        </w:tc>
        <w:tc>
          <w:tcPr>
            <w:tcW w:w="1359" w:type="dxa"/>
            <w:tcBorders>
              <w:top w:val="single" w:sz="4" w:space="0" w:color="auto"/>
              <w:left w:val="nil"/>
              <w:bottom w:val="single" w:sz="4" w:space="0" w:color="auto"/>
              <w:right w:val="nil"/>
            </w:tcBorders>
          </w:tcPr>
          <w:p w:rsidR="00BD5F69" w:rsidRPr="00860801" w:rsidRDefault="00F35E8B" w:rsidP="00DB4396">
            <w:pPr>
              <w:spacing w:line="360" w:lineRule="auto"/>
              <w:jc w:val="center"/>
              <w:rPr>
                <w:rFonts w:ascii="Cambria" w:hAnsi="Cambria" w:cs="Tahoma"/>
                <w:sz w:val="20"/>
                <w:szCs w:val="20"/>
              </w:rPr>
            </w:pPr>
            <w:r w:rsidRPr="00860801">
              <w:rPr>
                <w:rFonts w:ascii="Cambria" w:hAnsi="Cambria" w:cs="Tahoma"/>
                <w:sz w:val="20"/>
                <w:szCs w:val="20"/>
              </w:rPr>
              <w:t>HQ</w:t>
            </w:r>
          </w:p>
        </w:tc>
      </w:tr>
      <w:tr w:rsidR="006C0232" w:rsidRPr="00860801" w:rsidTr="00F71AC2">
        <w:trPr>
          <w:jc w:val="center"/>
        </w:trPr>
        <w:tc>
          <w:tcPr>
            <w:tcW w:w="562" w:type="dxa"/>
            <w:tcBorders>
              <w:top w:val="single" w:sz="4" w:space="0" w:color="auto"/>
              <w:left w:val="nil"/>
              <w:bottom w:val="nil"/>
              <w:right w:val="nil"/>
            </w:tcBorders>
          </w:tcPr>
          <w:p w:rsidR="00DB4396" w:rsidRPr="00860801" w:rsidRDefault="00F35E8B" w:rsidP="00DB4396">
            <w:pPr>
              <w:spacing w:line="360" w:lineRule="auto"/>
              <w:jc w:val="center"/>
              <w:rPr>
                <w:rFonts w:ascii="Cambria" w:hAnsi="Cambria" w:cs="Tahoma"/>
                <w:sz w:val="20"/>
                <w:szCs w:val="20"/>
              </w:rPr>
            </w:pPr>
            <w:r w:rsidRPr="00860801">
              <w:rPr>
                <w:rFonts w:ascii="Cambria" w:hAnsi="Cambria" w:cs="Tahoma"/>
                <w:sz w:val="20"/>
                <w:szCs w:val="20"/>
              </w:rPr>
              <w:t>0</w:t>
            </w:r>
          </w:p>
        </w:tc>
        <w:tc>
          <w:tcPr>
            <w:tcW w:w="1281" w:type="dxa"/>
            <w:tcBorders>
              <w:top w:val="single" w:sz="4" w:space="0" w:color="auto"/>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-6824.195</w:t>
            </w:r>
          </w:p>
        </w:tc>
        <w:tc>
          <w:tcPr>
            <w:tcW w:w="1359" w:type="dxa"/>
            <w:tcBorders>
              <w:top w:val="single" w:sz="4" w:space="0" w:color="auto"/>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NA</w:t>
            </w:r>
          </w:p>
        </w:tc>
        <w:tc>
          <w:tcPr>
            <w:tcW w:w="1395" w:type="dxa"/>
            <w:tcBorders>
              <w:top w:val="single" w:sz="4" w:space="0" w:color="auto"/>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9.67e+42</w:t>
            </w:r>
          </w:p>
        </w:tc>
        <w:tc>
          <w:tcPr>
            <w:tcW w:w="1359" w:type="dxa"/>
            <w:tcBorders>
              <w:top w:val="single" w:sz="4" w:space="0" w:color="auto"/>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130.1942</w:t>
            </w:r>
          </w:p>
        </w:tc>
        <w:tc>
          <w:tcPr>
            <w:tcW w:w="1359" w:type="dxa"/>
            <w:tcBorders>
              <w:top w:val="single" w:sz="4" w:space="0" w:color="auto"/>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130.4722</w:t>
            </w:r>
          </w:p>
        </w:tc>
        <w:tc>
          <w:tcPr>
            <w:tcW w:w="1359" w:type="dxa"/>
            <w:tcBorders>
              <w:top w:val="single" w:sz="4" w:space="0" w:color="auto"/>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130.3069</w:t>
            </w:r>
          </w:p>
        </w:tc>
      </w:tr>
      <w:tr w:rsidR="006C0232" w:rsidRPr="00860801" w:rsidTr="00F71AC2">
        <w:trPr>
          <w:jc w:val="center"/>
        </w:trPr>
        <w:tc>
          <w:tcPr>
            <w:tcW w:w="562" w:type="dxa"/>
            <w:tcBorders>
              <w:top w:val="nil"/>
              <w:left w:val="nil"/>
              <w:bottom w:val="nil"/>
              <w:right w:val="nil"/>
            </w:tcBorders>
          </w:tcPr>
          <w:p w:rsidR="00DB4396" w:rsidRPr="00860801" w:rsidRDefault="00F35E8B" w:rsidP="00DB4396">
            <w:pPr>
              <w:spacing w:line="360" w:lineRule="auto"/>
              <w:jc w:val="center"/>
              <w:rPr>
                <w:rFonts w:ascii="Cambria" w:hAnsi="Cambria" w:cs="Tahoma"/>
                <w:sz w:val="20"/>
                <w:szCs w:val="20"/>
              </w:rPr>
            </w:pPr>
            <w:r w:rsidRPr="00860801">
              <w:rPr>
                <w:rFonts w:ascii="Cambria" w:hAnsi="Cambria" w:cs="Tahoma"/>
                <w:sz w:val="20"/>
                <w:szCs w:val="20"/>
              </w:rPr>
              <w:t>1</w:t>
            </w:r>
          </w:p>
        </w:tc>
        <w:tc>
          <w:tcPr>
            <w:tcW w:w="1281"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-6038,411</w:t>
            </w:r>
          </w:p>
        </w:tc>
        <w:tc>
          <w:tcPr>
            <w:tcW w:w="1359"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1391960</w:t>
            </w:r>
          </w:p>
        </w:tc>
        <w:tc>
          <w:tcPr>
            <w:tcW w:w="1395"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3.10e+37</w:t>
            </w:r>
          </w:p>
        </w:tc>
        <w:tc>
          <w:tcPr>
            <w:tcW w:w="1359"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117.5316</w:t>
            </w:r>
          </w:p>
        </w:tc>
        <w:tc>
          <w:tcPr>
            <w:tcW w:w="1359"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120.8681*</w:t>
            </w:r>
          </w:p>
        </w:tc>
        <w:tc>
          <w:tcPr>
            <w:tcW w:w="1359"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118.8836*</w:t>
            </w:r>
          </w:p>
        </w:tc>
      </w:tr>
      <w:tr w:rsidR="006C0232" w:rsidRPr="00860801" w:rsidTr="00F71AC2">
        <w:trPr>
          <w:jc w:val="center"/>
        </w:trPr>
        <w:tc>
          <w:tcPr>
            <w:tcW w:w="562" w:type="dxa"/>
            <w:tcBorders>
              <w:top w:val="nil"/>
              <w:left w:val="nil"/>
              <w:bottom w:val="nil"/>
              <w:right w:val="nil"/>
            </w:tcBorders>
          </w:tcPr>
          <w:p w:rsidR="00DB4396" w:rsidRPr="00860801" w:rsidRDefault="00F35E8B" w:rsidP="00DB4396">
            <w:pPr>
              <w:spacing w:line="360" w:lineRule="auto"/>
              <w:jc w:val="center"/>
              <w:rPr>
                <w:rFonts w:ascii="Cambria" w:hAnsi="Cambria" w:cs="Tahoma"/>
                <w:sz w:val="20"/>
                <w:szCs w:val="20"/>
              </w:rPr>
            </w:pPr>
            <w:r w:rsidRPr="00860801">
              <w:rPr>
                <w:rFonts w:ascii="Cambria" w:hAnsi="Cambria" w:cs="Tahoma"/>
                <w:sz w:val="20"/>
                <w:szCs w:val="20"/>
              </w:rPr>
              <w:t>2</w:t>
            </w:r>
          </w:p>
        </w:tc>
        <w:tc>
          <w:tcPr>
            <w:tcW w:w="1281"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-5915.828</w:t>
            </w:r>
          </w:p>
        </w:tc>
        <w:tc>
          <w:tcPr>
            <w:tcW w:w="1359"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191.4635</w:t>
            </w:r>
          </w:p>
        </w:tc>
        <w:tc>
          <w:tcPr>
            <w:tcW w:w="1395"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3.22e+37</w:t>
            </w:r>
          </w:p>
        </w:tc>
        <w:tc>
          <w:tcPr>
            <w:tcW w:w="1359"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117.5015</w:t>
            </w:r>
          </w:p>
        </w:tc>
        <w:tc>
          <w:tcPr>
            <w:tcW w:w="1359"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123.8963</w:t>
            </w:r>
          </w:p>
        </w:tc>
        <w:tc>
          <w:tcPr>
            <w:tcW w:w="1359" w:type="dxa"/>
            <w:tcBorders>
              <w:top w:val="nil"/>
              <w:left w:val="nil"/>
              <w:bottom w:val="nil"/>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120.0928</w:t>
            </w:r>
          </w:p>
        </w:tc>
      </w:tr>
      <w:tr w:rsidR="006C0232" w:rsidRPr="00860801" w:rsidTr="00F71AC2">
        <w:trPr>
          <w:jc w:val="center"/>
        </w:trPr>
        <w:tc>
          <w:tcPr>
            <w:tcW w:w="562" w:type="dxa"/>
            <w:tcBorders>
              <w:top w:val="nil"/>
              <w:left w:val="nil"/>
              <w:bottom w:val="single" w:sz="4" w:space="0" w:color="auto"/>
              <w:right w:val="nil"/>
            </w:tcBorders>
          </w:tcPr>
          <w:p w:rsidR="00DB4396" w:rsidRPr="00860801" w:rsidRDefault="00F35E8B" w:rsidP="00DB4396">
            <w:pPr>
              <w:spacing w:line="360" w:lineRule="auto"/>
              <w:jc w:val="center"/>
              <w:rPr>
                <w:rFonts w:ascii="Cambria" w:hAnsi="Cambria" w:cs="Tahoma"/>
                <w:sz w:val="20"/>
                <w:szCs w:val="20"/>
              </w:rPr>
            </w:pPr>
            <w:r w:rsidRPr="00860801">
              <w:rPr>
                <w:rFonts w:ascii="Cambria" w:hAnsi="Cambria" w:cs="Tahoma"/>
                <w:sz w:val="20"/>
                <w:szCs w:val="20"/>
              </w:rPr>
              <w:t>3</w:t>
            </w:r>
          </w:p>
        </w:tc>
        <w:tc>
          <w:tcPr>
            <w:tcW w:w="1281" w:type="dxa"/>
            <w:tcBorders>
              <w:top w:val="nil"/>
              <w:left w:val="nil"/>
              <w:bottom w:val="single" w:sz="4" w:space="0" w:color="auto"/>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-5729,501</w:t>
            </w:r>
          </w:p>
        </w:tc>
        <w:tc>
          <w:tcPr>
            <w:tcW w:w="1359" w:type="dxa"/>
            <w:tcBorders>
              <w:top w:val="nil"/>
              <w:left w:val="nil"/>
              <w:bottom w:val="single" w:sz="4" w:space="0" w:color="auto"/>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251.9847*</w:t>
            </w:r>
          </w:p>
        </w:tc>
        <w:tc>
          <w:tcPr>
            <w:tcW w:w="1395" w:type="dxa"/>
            <w:tcBorders>
              <w:top w:val="nil"/>
              <w:left w:val="nil"/>
              <w:bottom w:val="single" w:sz="4" w:space="0" w:color="auto"/>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1.12e+37*</w:t>
            </w:r>
          </w:p>
        </w:tc>
        <w:tc>
          <w:tcPr>
            <w:tcW w:w="1359" w:type="dxa"/>
            <w:tcBorders>
              <w:top w:val="nil"/>
              <w:left w:val="nil"/>
              <w:bottom w:val="single" w:sz="4" w:space="0" w:color="auto"/>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116.2572*</w:t>
            </w:r>
          </w:p>
        </w:tc>
        <w:tc>
          <w:tcPr>
            <w:tcW w:w="1359" w:type="dxa"/>
            <w:tcBorders>
              <w:top w:val="nil"/>
              <w:left w:val="nil"/>
              <w:bottom w:val="single" w:sz="4" w:space="0" w:color="auto"/>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125.7103</w:t>
            </w:r>
          </w:p>
        </w:tc>
        <w:tc>
          <w:tcPr>
            <w:tcW w:w="1359" w:type="dxa"/>
            <w:tcBorders>
              <w:top w:val="nil"/>
              <w:left w:val="nil"/>
              <w:bottom w:val="single" w:sz="4" w:space="0" w:color="auto"/>
              <w:right w:val="nil"/>
            </w:tcBorders>
            <w:vAlign w:val="bottom"/>
          </w:tcPr>
          <w:p w:rsidR="00DB4396" w:rsidRPr="00860801" w:rsidRDefault="00F35E8B" w:rsidP="00DB4396">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120.0878</w:t>
            </w:r>
          </w:p>
        </w:tc>
      </w:tr>
      <w:tr w:rsidR="006C0232" w:rsidRPr="00860801" w:rsidTr="00F71AC2">
        <w:trPr>
          <w:jc w:val="center"/>
        </w:trPr>
        <w:tc>
          <w:tcPr>
            <w:tcW w:w="8674" w:type="dxa"/>
            <w:gridSpan w:val="7"/>
            <w:tcBorders>
              <w:top w:val="single" w:sz="4" w:space="0" w:color="auto"/>
              <w:left w:val="nil"/>
              <w:bottom w:val="nil"/>
              <w:right w:val="nil"/>
            </w:tcBorders>
          </w:tcPr>
          <w:p w:rsidR="00DB4396" w:rsidRPr="00860801" w:rsidRDefault="00F35E8B" w:rsidP="00DB4396">
            <w:pPr>
              <w:spacing w:line="360" w:lineRule="auto"/>
              <w:jc w:val="both"/>
              <w:rPr>
                <w:rFonts w:ascii="Cambria" w:hAnsi="Cambria" w:cs="Tahoma"/>
                <w:sz w:val="20"/>
                <w:szCs w:val="20"/>
              </w:rPr>
            </w:pPr>
            <w:r w:rsidRPr="00860801">
              <w:rPr>
                <w:rFonts w:ascii="Cambria" w:hAnsi="Cambria" w:cs="Tahoma"/>
                <w:sz w:val="20"/>
                <w:szCs w:val="20"/>
              </w:rPr>
              <w:t>*indicates lag order selected by the criterion</w:t>
            </w:r>
          </w:p>
        </w:tc>
      </w:tr>
    </w:tbl>
    <w:p w:rsidR="00BD5F69" w:rsidRPr="00002900" w:rsidRDefault="00F35E8B" w:rsidP="00F07630">
      <w:pPr>
        <w:spacing w:after="0" w:line="360" w:lineRule="auto"/>
        <w:ind w:firstLine="709"/>
        <w:jc w:val="both"/>
        <w:rPr>
          <w:rFonts w:ascii="Cambria" w:hAnsi="Cambria" w:cs="Tahoma"/>
          <w:sz w:val="24"/>
          <w:szCs w:val="24"/>
        </w:rPr>
      </w:pPr>
      <w:r w:rsidRPr="00002900">
        <w:rPr>
          <w:rFonts w:ascii="Cambria" w:hAnsi="Cambria" w:cs="Tahoma"/>
          <w:sz w:val="24"/>
          <w:szCs w:val="24"/>
        </w:rPr>
        <w:t>Source: Data processed 2022</w:t>
      </w:r>
    </w:p>
    <w:p w:rsidR="00736488" w:rsidRPr="00002900" w:rsidRDefault="00736488" w:rsidP="00F07630">
      <w:pPr>
        <w:spacing w:after="0" w:line="360" w:lineRule="auto"/>
        <w:ind w:firstLine="709"/>
        <w:jc w:val="both"/>
        <w:rPr>
          <w:rFonts w:ascii="Cambria" w:hAnsi="Cambria" w:cs="Tahoma"/>
          <w:sz w:val="24"/>
          <w:szCs w:val="24"/>
        </w:rPr>
      </w:pPr>
    </w:p>
    <w:p w:rsidR="00DC2FA4" w:rsidRPr="00002900" w:rsidRDefault="00F35E8B" w:rsidP="007E69FA">
      <w:pPr>
        <w:spacing w:after="0" w:line="360" w:lineRule="auto"/>
        <w:ind w:firstLine="709"/>
        <w:jc w:val="both"/>
        <w:rPr>
          <w:rFonts w:ascii="Cambria" w:hAnsi="Cambria" w:cs="Tahoma"/>
          <w:sz w:val="24"/>
          <w:szCs w:val="24"/>
        </w:rPr>
      </w:pPr>
      <w:r w:rsidRPr="00002900">
        <w:rPr>
          <w:rFonts w:ascii="Cambria" w:hAnsi="Cambria" w:cs="Tahoma"/>
          <w:sz w:val="24"/>
          <w:szCs w:val="24"/>
        </w:rPr>
        <w:t>In this study, the researchers determined the optimal lag length by looking at the results of the LR statistics, AIC, and FPE at lag 3, each with a value of 251.9847, 1.12e+37, 116.2572. Based on the results of the data processing above, the third lag is the right lag to be used for the VECM model.</w:t>
      </w:r>
    </w:p>
    <w:p w:rsidR="000870D3" w:rsidRPr="00002900" w:rsidRDefault="000870D3" w:rsidP="007E69FA">
      <w:pPr>
        <w:spacing w:after="0" w:line="360" w:lineRule="auto"/>
        <w:ind w:firstLine="709"/>
        <w:jc w:val="both"/>
        <w:rPr>
          <w:rFonts w:ascii="Cambria" w:hAnsi="Cambria" w:cs="Tahoma"/>
          <w:sz w:val="24"/>
          <w:szCs w:val="24"/>
        </w:rPr>
      </w:pPr>
    </w:p>
    <w:p w:rsidR="002D02A0" w:rsidRPr="00002900" w:rsidRDefault="00F35E8B" w:rsidP="00D83B56">
      <w:pPr>
        <w:pStyle w:val="ListParagraph"/>
        <w:numPr>
          <w:ilvl w:val="0"/>
          <w:numId w:val="5"/>
        </w:numPr>
        <w:spacing w:after="0" w:line="360" w:lineRule="auto"/>
        <w:ind w:left="426"/>
        <w:jc w:val="both"/>
        <w:rPr>
          <w:rFonts w:ascii="Cambria" w:hAnsi="Cambria" w:cs="Tahoma"/>
          <w:b/>
          <w:sz w:val="24"/>
          <w:szCs w:val="24"/>
        </w:rPr>
      </w:pPr>
      <w:r w:rsidRPr="00002900">
        <w:rPr>
          <w:rFonts w:ascii="Cambria" w:hAnsi="Cambria" w:cs="Tahoma"/>
          <w:b/>
          <w:sz w:val="24"/>
          <w:szCs w:val="24"/>
        </w:rPr>
        <w:t>VAR Stability Test</w:t>
      </w:r>
    </w:p>
    <w:p w:rsidR="002D02A0" w:rsidRPr="00F97264" w:rsidRDefault="00F35E8B" w:rsidP="00F97264">
      <w:pPr>
        <w:spacing w:after="0" w:line="360" w:lineRule="auto"/>
        <w:jc w:val="both"/>
        <w:rPr>
          <w:rFonts w:ascii="Cambria" w:hAnsi="Cambria" w:cs="Tahoma"/>
          <w:b/>
          <w:sz w:val="24"/>
          <w:szCs w:val="24"/>
        </w:rPr>
      </w:pPr>
      <w:r w:rsidRPr="00F97264">
        <w:rPr>
          <w:rFonts w:ascii="Cambria" w:hAnsi="Cambria" w:cs="Tahoma"/>
          <w:b/>
          <w:sz w:val="24"/>
          <w:szCs w:val="24"/>
        </w:rPr>
        <w:t>Table</w:t>
      </w:r>
      <w:r w:rsidR="00F97264">
        <w:rPr>
          <w:rFonts w:ascii="Cambria" w:hAnsi="Cambria" w:cs="Tahoma"/>
          <w:b/>
          <w:sz w:val="24"/>
          <w:szCs w:val="24"/>
          <w:lang w:val="id-ID"/>
        </w:rPr>
        <w:t xml:space="preserve"> 3. </w:t>
      </w:r>
      <w:r w:rsidRPr="00F97264">
        <w:rPr>
          <w:rFonts w:ascii="Cambria" w:hAnsi="Cambria" w:cs="Tahoma"/>
          <w:b/>
          <w:sz w:val="24"/>
          <w:szCs w:val="24"/>
        </w:rPr>
        <w:t>The root of Characteristic Polynomial</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977"/>
      </w:tblGrid>
      <w:tr w:rsidR="006C0232" w:rsidRPr="00860801" w:rsidTr="009D0077">
        <w:trPr>
          <w:jc w:val="center"/>
        </w:trPr>
        <w:tc>
          <w:tcPr>
            <w:tcW w:w="2830" w:type="dxa"/>
            <w:tcBorders>
              <w:top w:val="single" w:sz="4" w:space="0" w:color="auto"/>
              <w:bottom w:val="single" w:sz="4" w:space="0" w:color="auto"/>
            </w:tcBorders>
          </w:tcPr>
          <w:p w:rsidR="002D02A0" w:rsidRPr="00860801" w:rsidRDefault="00F35E8B" w:rsidP="002D02A0">
            <w:pPr>
              <w:spacing w:line="360" w:lineRule="auto"/>
              <w:jc w:val="center"/>
              <w:rPr>
                <w:rFonts w:ascii="Cambria" w:hAnsi="Cambria" w:cs="Tahoma"/>
                <w:sz w:val="20"/>
                <w:szCs w:val="20"/>
              </w:rPr>
            </w:pPr>
            <w:r w:rsidRPr="00860801">
              <w:rPr>
                <w:rFonts w:ascii="Cambria" w:hAnsi="Cambria" w:cs="Tahoma"/>
                <w:sz w:val="20"/>
                <w:szCs w:val="20"/>
              </w:rPr>
              <w:t>roots</w:t>
            </w:r>
          </w:p>
        </w:tc>
        <w:tc>
          <w:tcPr>
            <w:tcW w:w="2977" w:type="dxa"/>
            <w:tcBorders>
              <w:top w:val="single" w:sz="4" w:space="0" w:color="auto"/>
              <w:bottom w:val="single" w:sz="4" w:space="0" w:color="auto"/>
            </w:tcBorders>
          </w:tcPr>
          <w:p w:rsidR="002D02A0" w:rsidRPr="00860801" w:rsidRDefault="00F35E8B" w:rsidP="002D02A0">
            <w:pPr>
              <w:spacing w:line="360" w:lineRule="auto"/>
              <w:jc w:val="center"/>
              <w:rPr>
                <w:rFonts w:ascii="Cambria" w:hAnsi="Cambria" w:cs="Tahoma"/>
                <w:sz w:val="20"/>
                <w:szCs w:val="20"/>
              </w:rPr>
            </w:pPr>
            <w:r w:rsidRPr="00860801">
              <w:rPr>
                <w:rFonts w:ascii="Cambria" w:hAnsi="Cambria" w:cs="Tahoma"/>
                <w:sz w:val="20"/>
                <w:szCs w:val="20"/>
              </w:rPr>
              <w:t>Modulus</w:t>
            </w:r>
          </w:p>
        </w:tc>
      </w:tr>
      <w:tr w:rsidR="006C0232" w:rsidRPr="00860801" w:rsidTr="009D0077">
        <w:trPr>
          <w:jc w:val="center"/>
        </w:trPr>
        <w:tc>
          <w:tcPr>
            <w:tcW w:w="2830" w:type="dxa"/>
            <w:tcBorders>
              <w:top w:val="single" w:sz="4" w:space="0" w:color="auto"/>
            </w:tcBorders>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0.921426 - 0.121164i</w:t>
            </w:r>
          </w:p>
        </w:tc>
        <w:tc>
          <w:tcPr>
            <w:tcW w:w="2977" w:type="dxa"/>
            <w:tcBorders>
              <w:top w:val="single" w:sz="4" w:space="0" w:color="auto"/>
            </w:tcBorders>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0.929358</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0.921426 + 0.121164i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0.929358</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0.901243</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0.901243</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0.777414 - 0.370933i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0.861374</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0.777414 + 0.370933i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0.861374</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0.684216 + 0.497799i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0.846142</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0.684216 - 0.497799i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0.846142</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0.832185 - 0.130389i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0.842338</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0.832185 + 0.130389i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0.842338</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0.492452 + 0.598698i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0.775209</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0.492452 - 0.598698i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0.775209</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0.127405 - 0.720608i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0.731784</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0.127405 + 0.720608i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0.731784</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0.196884 - 0.704678i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0.731665</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0.196884 + 0.704678i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0.731665</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-0.564907 + 0.444437i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0.718779</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-0.564907 - 0.444437i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0.718779</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0.498404 + 0.472407i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0.686713</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0.498404 - 0.472407i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0.686713</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0.671023</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0.671023</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lastRenderedPageBreak/>
              <w:t>-0.476923 - 0.413495i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0.631216</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-0.476923 + 0.413495i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0.631216</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-0.616712 - 0.096677i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0.624244</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-0.616712 + 0.096677i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0.624244</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-0.377146 - 0.354493i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0.517595</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-0.377146 + 0.354493i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0.517595</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0.248932 - 0.393496i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0.465624</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0.248932 + 0.393496i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0.465624</w:t>
            </w:r>
          </w:p>
        </w:tc>
      </w:tr>
      <w:tr w:rsidR="006C0232" w:rsidRPr="00860801" w:rsidTr="009D0077">
        <w:trPr>
          <w:jc w:val="center"/>
        </w:trPr>
        <w:tc>
          <w:tcPr>
            <w:tcW w:w="2830"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-0.142080 + 0.406219i</w:t>
            </w:r>
          </w:p>
        </w:tc>
        <w:tc>
          <w:tcPr>
            <w:tcW w:w="2977" w:type="dxa"/>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0.430350</w:t>
            </w:r>
          </w:p>
        </w:tc>
      </w:tr>
      <w:tr w:rsidR="006C0232" w:rsidRPr="00860801" w:rsidTr="009D0077">
        <w:trPr>
          <w:jc w:val="center"/>
        </w:trPr>
        <w:tc>
          <w:tcPr>
            <w:tcW w:w="2830" w:type="dxa"/>
            <w:tcBorders>
              <w:bottom w:val="nil"/>
            </w:tcBorders>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-0.142080 - 0.406219i</w:t>
            </w:r>
          </w:p>
        </w:tc>
        <w:tc>
          <w:tcPr>
            <w:tcW w:w="2977" w:type="dxa"/>
            <w:tcBorders>
              <w:bottom w:val="nil"/>
            </w:tcBorders>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0.430350</w:t>
            </w:r>
          </w:p>
        </w:tc>
      </w:tr>
      <w:tr w:rsidR="006C0232" w:rsidRPr="00860801" w:rsidTr="009D0077">
        <w:trPr>
          <w:jc w:val="center"/>
        </w:trPr>
        <w:tc>
          <w:tcPr>
            <w:tcW w:w="2830" w:type="dxa"/>
            <w:tcBorders>
              <w:top w:val="nil"/>
            </w:tcBorders>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-0.347915</w:t>
            </w:r>
          </w:p>
        </w:tc>
        <w:tc>
          <w:tcPr>
            <w:tcW w:w="2977" w:type="dxa"/>
            <w:tcBorders>
              <w:top w:val="nil"/>
            </w:tcBorders>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0.347915</w:t>
            </w:r>
          </w:p>
        </w:tc>
      </w:tr>
      <w:tr w:rsidR="006C0232" w:rsidRPr="00860801" w:rsidTr="009D0077">
        <w:trPr>
          <w:jc w:val="center"/>
        </w:trPr>
        <w:tc>
          <w:tcPr>
            <w:tcW w:w="2830" w:type="dxa"/>
            <w:tcBorders>
              <w:top w:val="nil"/>
              <w:bottom w:val="single" w:sz="4" w:space="0" w:color="auto"/>
            </w:tcBorders>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-0.033418</w:t>
            </w:r>
          </w:p>
        </w:tc>
        <w:tc>
          <w:tcPr>
            <w:tcW w:w="2977" w:type="dxa"/>
            <w:tcBorders>
              <w:top w:val="nil"/>
              <w:bottom w:val="single" w:sz="4" w:space="0" w:color="auto"/>
            </w:tcBorders>
            <w:vAlign w:val="bottom"/>
          </w:tcPr>
          <w:p w:rsidR="002D02A0" w:rsidRPr="00860801" w:rsidRDefault="00F35E8B" w:rsidP="002D02A0">
            <w:pPr>
              <w:autoSpaceDE w:val="0"/>
              <w:autoSpaceDN w:val="0"/>
              <w:adjustRightInd w:val="0"/>
              <w:jc w:val="center"/>
              <w:rPr>
                <w:rFonts w:ascii="Cambria" w:hAnsi="Cambria" w:cs="Tahoma"/>
                <w:color w:val="000000"/>
                <w:sz w:val="20"/>
                <w:szCs w:val="20"/>
              </w:rPr>
            </w:pPr>
            <w:r w:rsidRPr="00860801">
              <w:rPr>
                <w:rFonts w:ascii="Cambria" w:hAnsi="Cambria" w:cs="Tahoma"/>
                <w:color w:val="000000"/>
                <w:sz w:val="20"/>
                <w:szCs w:val="20"/>
              </w:rPr>
              <w:t>0.033418</w:t>
            </w:r>
          </w:p>
        </w:tc>
      </w:tr>
      <w:tr w:rsidR="006C0232" w:rsidRPr="00860801" w:rsidTr="009D0077">
        <w:trPr>
          <w:jc w:val="center"/>
        </w:trPr>
        <w:tc>
          <w:tcPr>
            <w:tcW w:w="2830" w:type="dxa"/>
            <w:tcBorders>
              <w:top w:val="single" w:sz="4" w:space="0" w:color="auto"/>
            </w:tcBorders>
            <w:vAlign w:val="bottom"/>
          </w:tcPr>
          <w:p w:rsidR="002D02A0" w:rsidRPr="00860801" w:rsidRDefault="002D02A0" w:rsidP="002D02A0">
            <w:pPr>
              <w:autoSpaceDE w:val="0"/>
              <w:autoSpaceDN w:val="0"/>
              <w:adjustRightInd w:val="0"/>
              <w:jc w:val="center"/>
              <w:rPr>
                <w:rFonts w:ascii="Cambria" w:hAnsi="Cambria" w:cs="Tahoma"/>
                <w:color w:val="000000"/>
                <w:sz w:val="20"/>
                <w:szCs w:val="20"/>
              </w:rPr>
            </w:pPr>
          </w:p>
        </w:tc>
        <w:tc>
          <w:tcPr>
            <w:tcW w:w="2977" w:type="dxa"/>
            <w:tcBorders>
              <w:top w:val="single" w:sz="4" w:space="0" w:color="auto"/>
            </w:tcBorders>
            <w:vAlign w:val="bottom"/>
          </w:tcPr>
          <w:p w:rsidR="002D02A0" w:rsidRPr="00860801" w:rsidRDefault="002D02A0" w:rsidP="002D02A0">
            <w:pPr>
              <w:autoSpaceDE w:val="0"/>
              <w:autoSpaceDN w:val="0"/>
              <w:adjustRightInd w:val="0"/>
              <w:jc w:val="center"/>
              <w:rPr>
                <w:rFonts w:ascii="Cambria" w:hAnsi="Cambria" w:cs="Tahoma"/>
                <w:color w:val="000000"/>
                <w:sz w:val="20"/>
                <w:szCs w:val="20"/>
              </w:rPr>
            </w:pPr>
          </w:p>
        </w:tc>
      </w:tr>
    </w:tbl>
    <w:p w:rsidR="0090686C" w:rsidRPr="00F97264" w:rsidRDefault="00F35E8B" w:rsidP="0090686C">
      <w:pPr>
        <w:spacing w:after="0" w:line="360" w:lineRule="auto"/>
        <w:ind w:firstLine="709"/>
        <w:jc w:val="both"/>
        <w:rPr>
          <w:rFonts w:ascii="Cambria" w:hAnsi="Cambria" w:cs="Tahoma"/>
          <w:sz w:val="20"/>
          <w:szCs w:val="20"/>
        </w:rPr>
      </w:pPr>
      <w:r w:rsidRPr="00F97264">
        <w:rPr>
          <w:rFonts w:ascii="Cambria" w:hAnsi="Cambria" w:cs="Tahoma"/>
          <w:sz w:val="20"/>
          <w:szCs w:val="20"/>
        </w:rPr>
        <w:t>Source: Data processed 2022</w:t>
      </w:r>
    </w:p>
    <w:p w:rsidR="002D02A0" w:rsidRPr="00F97264" w:rsidRDefault="00F35E8B" w:rsidP="002D02A0">
      <w:pPr>
        <w:spacing w:after="0" w:line="360" w:lineRule="auto"/>
        <w:jc w:val="both"/>
        <w:rPr>
          <w:rFonts w:ascii="Cambria" w:hAnsi="Cambria" w:cs="Tahoma"/>
        </w:rPr>
      </w:pPr>
      <w:r w:rsidRPr="00F97264">
        <w:rPr>
          <w:rFonts w:ascii="Cambria" w:hAnsi="Cambria" w:cs="Tahoma"/>
        </w:rPr>
        <w:t>Based on the table above, all values of the roots and modulus are less than 1 (&lt;) and based on the VAR, they have fulfilled control stability, which states that "No root lies outside the unit circle" means that it can be used in the VAR model.</w:t>
      </w:r>
    </w:p>
    <w:p w:rsidR="00C558CA" w:rsidRPr="00F97264" w:rsidRDefault="00F35E8B" w:rsidP="00D83B56">
      <w:pPr>
        <w:pStyle w:val="ListParagraph"/>
        <w:numPr>
          <w:ilvl w:val="0"/>
          <w:numId w:val="5"/>
        </w:numPr>
        <w:spacing w:after="0" w:line="360" w:lineRule="auto"/>
        <w:ind w:left="426"/>
        <w:jc w:val="both"/>
        <w:rPr>
          <w:rFonts w:ascii="Cambria" w:hAnsi="Cambria" w:cs="Tahoma"/>
          <w:b/>
        </w:rPr>
      </w:pPr>
      <w:r w:rsidRPr="00F97264">
        <w:rPr>
          <w:rFonts w:ascii="Cambria" w:hAnsi="Cambria" w:cs="Tahoma"/>
          <w:b/>
        </w:rPr>
        <w:t xml:space="preserve">Johansen </w:t>
      </w:r>
      <w:proofErr w:type="spellStart"/>
      <w:r w:rsidRPr="00F97264">
        <w:rPr>
          <w:rFonts w:ascii="Cambria" w:hAnsi="Cambria" w:cs="Tahoma"/>
          <w:b/>
        </w:rPr>
        <w:t>Cointegration</w:t>
      </w:r>
      <w:proofErr w:type="spellEnd"/>
      <w:r w:rsidRPr="00F97264">
        <w:rPr>
          <w:rFonts w:ascii="Cambria" w:hAnsi="Cambria" w:cs="Tahoma"/>
          <w:b/>
        </w:rPr>
        <w:t xml:space="preserve"> Test</w:t>
      </w:r>
    </w:p>
    <w:p w:rsidR="00DC2FA4" w:rsidRPr="00002900" w:rsidRDefault="00F35E8B" w:rsidP="00F07630">
      <w:pPr>
        <w:spacing w:after="0" w:line="360" w:lineRule="auto"/>
        <w:ind w:firstLine="709"/>
        <w:jc w:val="both"/>
        <w:rPr>
          <w:rFonts w:ascii="Cambria" w:hAnsi="Cambria" w:cs="Tahoma"/>
          <w:sz w:val="24"/>
          <w:szCs w:val="24"/>
        </w:rPr>
      </w:pPr>
      <w:r w:rsidRPr="00F97264">
        <w:rPr>
          <w:rFonts w:ascii="Cambria" w:hAnsi="Cambria" w:cs="Tahoma"/>
        </w:rPr>
        <w:t xml:space="preserve">Before doing an analysis with VECM, it is necessary to do a </w:t>
      </w:r>
      <w:proofErr w:type="spellStart"/>
      <w:r w:rsidRPr="00F97264">
        <w:rPr>
          <w:rFonts w:ascii="Cambria" w:hAnsi="Cambria" w:cs="Tahoma"/>
        </w:rPr>
        <w:t>cointegration</w:t>
      </w:r>
      <w:proofErr w:type="spellEnd"/>
      <w:r w:rsidRPr="00F97264">
        <w:rPr>
          <w:rFonts w:ascii="Cambria" w:hAnsi="Cambria" w:cs="Tahoma"/>
        </w:rPr>
        <w:t xml:space="preserve"> test first. The existence of research variables that are not stationary, as the results of the </w:t>
      </w:r>
      <w:proofErr w:type="spellStart"/>
      <w:r w:rsidRPr="00F97264">
        <w:rPr>
          <w:rFonts w:ascii="Cambria" w:hAnsi="Cambria" w:cs="Tahoma"/>
        </w:rPr>
        <w:t>stationarity</w:t>
      </w:r>
      <w:proofErr w:type="spellEnd"/>
      <w:r w:rsidRPr="00F97264">
        <w:rPr>
          <w:rFonts w:ascii="Cambria" w:hAnsi="Cambria" w:cs="Tahoma"/>
        </w:rPr>
        <w:t xml:space="preserve"> test that has been done previously, increases the possibility of a </w:t>
      </w:r>
      <w:proofErr w:type="spellStart"/>
      <w:r w:rsidRPr="00F97264">
        <w:rPr>
          <w:rFonts w:ascii="Cambria" w:hAnsi="Cambria" w:cs="Tahoma"/>
        </w:rPr>
        <w:t>cointegration</w:t>
      </w:r>
      <w:proofErr w:type="spellEnd"/>
      <w:r w:rsidRPr="00F97264">
        <w:rPr>
          <w:rFonts w:ascii="Cambria" w:hAnsi="Cambria" w:cs="Tahoma"/>
        </w:rPr>
        <w:t xml:space="preserve"> relationship between variables. </w:t>
      </w:r>
      <w:r w:rsidR="000870D3" w:rsidRPr="00F97264">
        <w:rPr>
          <w:rFonts w:ascii="Cambria" w:hAnsi="Cambria" w:cs="Tahoma"/>
        </w:rPr>
        <w:t xml:space="preserve">The </w:t>
      </w:r>
      <w:proofErr w:type="spellStart"/>
      <w:r w:rsidR="000870D3" w:rsidRPr="00F97264">
        <w:rPr>
          <w:rFonts w:ascii="Cambria" w:hAnsi="Cambria" w:cs="Tahoma"/>
        </w:rPr>
        <w:t>cointegration</w:t>
      </w:r>
      <w:proofErr w:type="spellEnd"/>
      <w:r w:rsidR="000870D3" w:rsidRPr="00F97264">
        <w:rPr>
          <w:rFonts w:ascii="Cambria" w:hAnsi="Cambria" w:cs="Tahoma"/>
        </w:rPr>
        <w:t xml:space="preserve"> test is carried out to see the </w:t>
      </w:r>
      <w:proofErr w:type="spellStart"/>
      <w:r w:rsidR="000870D3" w:rsidRPr="00F97264">
        <w:rPr>
          <w:rFonts w:ascii="Cambria" w:hAnsi="Cambria" w:cs="Tahoma"/>
        </w:rPr>
        <w:t>cointegration</w:t>
      </w:r>
      <w:proofErr w:type="spellEnd"/>
      <w:r w:rsidR="000870D3" w:rsidRPr="00F97264">
        <w:rPr>
          <w:rFonts w:ascii="Cambria" w:hAnsi="Cambria" w:cs="Tahoma"/>
        </w:rPr>
        <w:t xml:space="preserve"> relationship so that the long-term relationship between variables can be identified</w:t>
      </w:r>
      <w:r w:rsidR="000870D3" w:rsidRPr="00002900">
        <w:rPr>
          <w:rFonts w:ascii="Cambria" w:hAnsi="Cambria" w:cs="Tahoma"/>
          <w:sz w:val="24"/>
          <w:szCs w:val="24"/>
        </w:rPr>
        <w:t>.</w:t>
      </w:r>
    </w:p>
    <w:p w:rsidR="00C558CA" w:rsidRPr="00002900" w:rsidRDefault="00F35E8B" w:rsidP="00F97264">
      <w:pPr>
        <w:spacing w:after="0" w:line="360" w:lineRule="auto"/>
        <w:jc w:val="both"/>
        <w:rPr>
          <w:rFonts w:ascii="Cambria" w:hAnsi="Cambria" w:cs="Tahoma"/>
          <w:b/>
          <w:sz w:val="24"/>
          <w:szCs w:val="24"/>
        </w:rPr>
      </w:pPr>
      <w:r w:rsidRPr="00002900">
        <w:rPr>
          <w:rFonts w:ascii="Cambria" w:hAnsi="Cambria" w:cs="Tahoma"/>
          <w:b/>
          <w:sz w:val="24"/>
          <w:szCs w:val="24"/>
        </w:rPr>
        <w:t>Table</w:t>
      </w:r>
      <w:r w:rsidR="00F97264">
        <w:rPr>
          <w:rFonts w:ascii="Cambria" w:hAnsi="Cambria" w:cs="Tahoma"/>
          <w:b/>
          <w:sz w:val="24"/>
          <w:szCs w:val="24"/>
          <w:lang w:val="id-ID"/>
        </w:rPr>
        <w:t xml:space="preserve"> 4. </w:t>
      </w:r>
      <w:r w:rsidRPr="00002900">
        <w:rPr>
          <w:rFonts w:ascii="Cambria" w:hAnsi="Cambria" w:cs="Tahoma"/>
          <w:b/>
          <w:sz w:val="24"/>
          <w:szCs w:val="24"/>
        </w:rPr>
        <w:t xml:space="preserve">Johansen </w:t>
      </w:r>
      <w:proofErr w:type="spellStart"/>
      <w:r w:rsidRPr="00002900">
        <w:rPr>
          <w:rFonts w:ascii="Cambria" w:hAnsi="Cambria" w:cs="Tahoma"/>
          <w:b/>
          <w:sz w:val="24"/>
          <w:szCs w:val="24"/>
        </w:rPr>
        <w:t>Cointegration</w:t>
      </w:r>
      <w:proofErr w:type="spellEnd"/>
      <w:r w:rsidRPr="00002900">
        <w:rPr>
          <w:rFonts w:ascii="Cambria" w:hAnsi="Cambria" w:cs="Tahoma"/>
          <w:b/>
          <w:sz w:val="24"/>
          <w:szCs w:val="24"/>
        </w:rPr>
        <w:t xml:space="preserve"> Test</w:t>
      </w:r>
    </w:p>
    <w:tbl>
      <w:tblPr>
        <w:tblW w:w="8329" w:type="dxa"/>
        <w:tblInd w:w="30" w:type="dxa"/>
        <w:tblLayout w:type="fixed"/>
        <w:tblCellMar>
          <w:left w:w="0" w:type="dxa"/>
          <w:right w:w="0" w:type="dxa"/>
        </w:tblCellMar>
        <w:tblLook w:val="0000" w:firstRow="0" w:lastRow="0" w:firstColumn="0" w:lastColumn="0" w:noHBand="0" w:noVBand="0"/>
      </w:tblPr>
      <w:tblGrid>
        <w:gridCol w:w="1808"/>
        <w:gridCol w:w="1418"/>
        <w:gridCol w:w="1559"/>
        <w:gridCol w:w="1701"/>
        <w:gridCol w:w="1843"/>
      </w:tblGrid>
      <w:tr w:rsidR="006C0232" w:rsidRPr="00860801" w:rsidTr="009D0077">
        <w:trPr>
          <w:trHeight w:val="333"/>
        </w:trPr>
        <w:tc>
          <w:tcPr>
            <w:tcW w:w="1808" w:type="dxa"/>
            <w:tcBorders>
              <w:top w:val="single" w:sz="4" w:space="0" w:color="auto"/>
            </w:tcBorders>
            <w:vAlign w:val="bottom"/>
          </w:tcPr>
          <w:p w:rsidR="00C558CA" w:rsidRPr="00860801" w:rsidRDefault="00F35E8B" w:rsidP="0079353C">
            <w:pPr>
              <w:autoSpaceDE w:val="0"/>
              <w:autoSpaceDN w:val="0"/>
              <w:adjustRightInd w:val="0"/>
              <w:spacing w:after="0" w:line="240" w:lineRule="auto"/>
              <w:jc w:val="center"/>
              <w:rPr>
                <w:rFonts w:ascii="Cambria" w:hAnsi="Cambria" w:cs="Tahoma"/>
                <w:b/>
                <w:color w:val="000000"/>
                <w:sz w:val="20"/>
                <w:szCs w:val="20"/>
              </w:rPr>
            </w:pPr>
            <w:r w:rsidRPr="00860801">
              <w:rPr>
                <w:rFonts w:ascii="Cambria" w:hAnsi="Cambria" w:cs="Tahoma"/>
                <w:b/>
                <w:color w:val="000000"/>
                <w:sz w:val="20"/>
                <w:szCs w:val="20"/>
              </w:rPr>
              <w:t>Hypothesized</w:t>
            </w:r>
          </w:p>
        </w:tc>
        <w:tc>
          <w:tcPr>
            <w:tcW w:w="1418" w:type="dxa"/>
            <w:tcBorders>
              <w:top w:val="single" w:sz="4" w:space="0" w:color="auto"/>
            </w:tcBorders>
            <w:vAlign w:val="bottom"/>
          </w:tcPr>
          <w:p w:rsidR="00C558CA" w:rsidRPr="00860801" w:rsidRDefault="00C558CA" w:rsidP="0079353C">
            <w:pPr>
              <w:autoSpaceDE w:val="0"/>
              <w:autoSpaceDN w:val="0"/>
              <w:adjustRightInd w:val="0"/>
              <w:spacing w:after="0" w:line="240" w:lineRule="auto"/>
              <w:jc w:val="center"/>
              <w:rPr>
                <w:rFonts w:ascii="Cambria" w:hAnsi="Cambria" w:cs="Tahoma"/>
                <w:b/>
                <w:color w:val="000000"/>
                <w:sz w:val="20"/>
                <w:szCs w:val="20"/>
              </w:rPr>
            </w:pPr>
          </w:p>
        </w:tc>
        <w:tc>
          <w:tcPr>
            <w:tcW w:w="1559" w:type="dxa"/>
            <w:tcBorders>
              <w:top w:val="single" w:sz="4" w:space="0" w:color="auto"/>
            </w:tcBorders>
            <w:vAlign w:val="bottom"/>
          </w:tcPr>
          <w:p w:rsidR="00C558CA" w:rsidRPr="00860801" w:rsidRDefault="00F35E8B" w:rsidP="0079353C">
            <w:pPr>
              <w:autoSpaceDE w:val="0"/>
              <w:autoSpaceDN w:val="0"/>
              <w:adjustRightInd w:val="0"/>
              <w:spacing w:after="0" w:line="240" w:lineRule="auto"/>
              <w:jc w:val="center"/>
              <w:rPr>
                <w:rFonts w:ascii="Cambria" w:hAnsi="Cambria" w:cs="Tahoma"/>
                <w:b/>
                <w:color w:val="000000"/>
                <w:sz w:val="20"/>
                <w:szCs w:val="20"/>
              </w:rPr>
            </w:pPr>
            <w:r w:rsidRPr="00860801">
              <w:rPr>
                <w:rFonts w:ascii="Cambria" w:hAnsi="Cambria" w:cs="Tahoma"/>
                <w:b/>
                <w:color w:val="000000"/>
                <w:sz w:val="20"/>
                <w:szCs w:val="20"/>
              </w:rPr>
              <w:t>trace</w:t>
            </w:r>
          </w:p>
        </w:tc>
        <w:tc>
          <w:tcPr>
            <w:tcW w:w="1701" w:type="dxa"/>
            <w:tcBorders>
              <w:top w:val="single" w:sz="4" w:space="0" w:color="auto"/>
            </w:tcBorders>
            <w:vAlign w:val="bottom"/>
          </w:tcPr>
          <w:p w:rsidR="00C558CA" w:rsidRPr="00860801" w:rsidRDefault="00F35E8B" w:rsidP="0079353C">
            <w:pPr>
              <w:autoSpaceDE w:val="0"/>
              <w:autoSpaceDN w:val="0"/>
              <w:adjustRightInd w:val="0"/>
              <w:spacing w:after="0" w:line="240" w:lineRule="auto"/>
              <w:jc w:val="center"/>
              <w:rPr>
                <w:rFonts w:ascii="Cambria" w:hAnsi="Cambria" w:cs="Tahoma"/>
                <w:b/>
                <w:color w:val="000000"/>
                <w:sz w:val="20"/>
                <w:szCs w:val="20"/>
              </w:rPr>
            </w:pPr>
            <w:r w:rsidRPr="00860801">
              <w:rPr>
                <w:rFonts w:ascii="Cambria" w:hAnsi="Cambria" w:cs="Tahoma"/>
                <w:b/>
                <w:color w:val="000000"/>
                <w:sz w:val="20"/>
                <w:szCs w:val="20"/>
              </w:rPr>
              <w:t>0.05</w:t>
            </w:r>
          </w:p>
        </w:tc>
        <w:tc>
          <w:tcPr>
            <w:tcW w:w="1843" w:type="dxa"/>
            <w:tcBorders>
              <w:top w:val="single" w:sz="4" w:space="0" w:color="auto"/>
            </w:tcBorders>
            <w:vAlign w:val="bottom"/>
          </w:tcPr>
          <w:p w:rsidR="00C558CA" w:rsidRPr="00860801" w:rsidRDefault="00C558CA" w:rsidP="0079353C">
            <w:pPr>
              <w:autoSpaceDE w:val="0"/>
              <w:autoSpaceDN w:val="0"/>
              <w:adjustRightInd w:val="0"/>
              <w:spacing w:after="0" w:line="240" w:lineRule="auto"/>
              <w:jc w:val="center"/>
              <w:rPr>
                <w:rFonts w:ascii="Cambria" w:hAnsi="Cambria" w:cs="Tahoma"/>
                <w:b/>
                <w:color w:val="000000"/>
                <w:sz w:val="20"/>
                <w:szCs w:val="20"/>
              </w:rPr>
            </w:pPr>
          </w:p>
        </w:tc>
      </w:tr>
      <w:tr w:rsidR="006C0232" w:rsidRPr="00860801" w:rsidTr="009D0077">
        <w:trPr>
          <w:trHeight w:val="333"/>
        </w:trPr>
        <w:tc>
          <w:tcPr>
            <w:tcW w:w="180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b/>
                <w:color w:val="000000"/>
                <w:sz w:val="20"/>
                <w:szCs w:val="20"/>
              </w:rPr>
            </w:pPr>
            <w:r w:rsidRPr="00860801">
              <w:rPr>
                <w:rFonts w:ascii="Cambria" w:hAnsi="Cambria" w:cs="Tahoma"/>
                <w:b/>
                <w:color w:val="000000"/>
                <w:sz w:val="20"/>
                <w:szCs w:val="20"/>
              </w:rPr>
              <w:t>No. of CE(s)</w:t>
            </w:r>
          </w:p>
        </w:tc>
        <w:tc>
          <w:tcPr>
            <w:tcW w:w="141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b/>
                <w:color w:val="000000"/>
                <w:sz w:val="20"/>
                <w:szCs w:val="20"/>
              </w:rPr>
            </w:pPr>
            <w:r w:rsidRPr="00860801">
              <w:rPr>
                <w:rFonts w:ascii="Cambria" w:hAnsi="Cambria" w:cs="Tahoma"/>
                <w:b/>
                <w:color w:val="000000"/>
                <w:sz w:val="20"/>
                <w:szCs w:val="20"/>
              </w:rPr>
              <w:t>Eigenvalue</w:t>
            </w:r>
          </w:p>
        </w:tc>
        <w:tc>
          <w:tcPr>
            <w:tcW w:w="1559" w:type="dxa"/>
            <w:vAlign w:val="bottom"/>
          </w:tcPr>
          <w:p w:rsidR="00C558CA" w:rsidRPr="00860801" w:rsidRDefault="00F35E8B" w:rsidP="0079353C">
            <w:pPr>
              <w:autoSpaceDE w:val="0"/>
              <w:autoSpaceDN w:val="0"/>
              <w:adjustRightInd w:val="0"/>
              <w:spacing w:after="0" w:line="240" w:lineRule="auto"/>
              <w:jc w:val="center"/>
              <w:rPr>
                <w:rFonts w:ascii="Cambria" w:hAnsi="Cambria" w:cs="Tahoma"/>
                <w:b/>
                <w:color w:val="000000"/>
                <w:sz w:val="20"/>
                <w:szCs w:val="20"/>
              </w:rPr>
            </w:pPr>
            <w:r w:rsidRPr="00860801">
              <w:rPr>
                <w:rFonts w:ascii="Cambria" w:hAnsi="Cambria" w:cs="Tahoma"/>
                <w:b/>
                <w:color w:val="000000"/>
                <w:sz w:val="20"/>
                <w:szCs w:val="20"/>
              </w:rPr>
              <w:t>Statistics</w:t>
            </w:r>
          </w:p>
        </w:tc>
        <w:tc>
          <w:tcPr>
            <w:tcW w:w="1701" w:type="dxa"/>
            <w:vAlign w:val="bottom"/>
          </w:tcPr>
          <w:p w:rsidR="00C558CA" w:rsidRPr="00860801" w:rsidRDefault="00F35E8B" w:rsidP="0079353C">
            <w:pPr>
              <w:autoSpaceDE w:val="0"/>
              <w:autoSpaceDN w:val="0"/>
              <w:adjustRightInd w:val="0"/>
              <w:spacing w:after="0" w:line="240" w:lineRule="auto"/>
              <w:jc w:val="center"/>
              <w:rPr>
                <w:rFonts w:ascii="Cambria" w:hAnsi="Cambria" w:cs="Tahoma"/>
                <w:b/>
                <w:color w:val="000000"/>
                <w:sz w:val="20"/>
                <w:szCs w:val="20"/>
              </w:rPr>
            </w:pPr>
            <w:r w:rsidRPr="00860801">
              <w:rPr>
                <w:rFonts w:ascii="Cambria" w:hAnsi="Cambria" w:cs="Tahoma"/>
                <w:b/>
                <w:color w:val="000000"/>
                <w:sz w:val="20"/>
                <w:szCs w:val="20"/>
              </w:rPr>
              <w:t>Critical Values</w:t>
            </w:r>
          </w:p>
        </w:tc>
        <w:tc>
          <w:tcPr>
            <w:tcW w:w="1843" w:type="dxa"/>
            <w:vAlign w:val="bottom"/>
          </w:tcPr>
          <w:p w:rsidR="00C558CA" w:rsidRPr="00860801" w:rsidRDefault="00F35E8B" w:rsidP="0079353C">
            <w:pPr>
              <w:autoSpaceDE w:val="0"/>
              <w:autoSpaceDN w:val="0"/>
              <w:adjustRightInd w:val="0"/>
              <w:spacing w:after="0" w:line="240" w:lineRule="auto"/>
              <w:jc w:val="center"/>
              <w:rPr>
                <w:rFonts w:ascii="Cambria" w:hAnsi="Cambria" w:cs="Tahoma"/>
                <w:b/>
                <w:color w:val="000000"/>
                <w:sz w:val="20"/>
                <w:szCs w:val="20"/>
              </w:rPr>
            </w:pPr>
            <w:r w:rsidRPr="00860801">
              <w:rPr>
                <w:rFonts w:ascii="Cambria" w:hAnsi="Cambria" w:cs="Tahoma"/>
                <w:b/>
                <w:color w:val="000000"/>
                <w:sz w:val="20"/>
                <w:szCs w:val="20"/>
              </w:rPr>
              <w:t>Prob.**</w:t>
            </w:r>
          </w:p>
        </w:tc>
      </w:tr>
      <w:tr w:rsidR="006C0232" w:rsidRPr="00860801" w:rsidTr="009D0077">
        <w:trPr>
          <w:trHeight w:hRule="exact" w:val="133"/>
        </w:trPr>
        <w:tc>
          <w:tcPr>
            <w:tcW w:w="1808" w:type="dxa"/>
            <w:tcBorders>
              <w:bottom w:val="single" w:sz="4" w:space="0" w:color="auto"/>
            </w:tcBorders>
            <w:vAlign w:val="bottom"/>
          </w:tcPr>
          <w:p w:rsidR="00C558CA" w:rsidRPr="00860801" w:rsidRDefault="00C558CA" w:rsidP="0079353C">
            <w:pPr>
              <w:autoSpaceDE w:val="0"/>
              <w:autoSpaceDN w:val="0"/>
              <w:adjustRightInd w:val="0"/>
              <w:spacing w:after="0" w:line="240" w:lineRule="auto"/>
              <w:rPr>
                <w:rFonts w:ascii="Cambria" w:hAnsi="Cambria" w:cs="Tahoma"/>
                <w:color w:val="000000"/>
                <w:sz w:val="20"/>
                <w:szCs w:val="20"/>
              </w:rPr>
            </w:pPr>
          </w:p>
        </w:tc>
        <w:tc>
          <w:tcPr>
            <w:tcW w:w="1418" w:type="dxa"/>
            <w:tcBorders>
              <w:bottom w:val="single" w:sz="4" w:space="0" w:color="auto"/>
            </w:tcBorders>
            <w:vAlign w:val="bottom"/>
          </w:tcPr>
          <w:p w:rsidR="00C558CA" w:rsidRPr="00860801" w:rsidRDefault="00C558CA" w:rsidP="0079353C">
            <w:pPr>
              <w:autoSpaceDE w:val="0"/>
              <w:autoSpaceDN w:val="0"/>
              <w:adjustRightInd w:val="0"/>
              <w:spacing w:after="0" w:line="240" w:lineRule="auto"/>
              <w:rPr>
                <w:rFonts w:ascii="Cambria" w:hAnsi="Cambria" w:cs="Tahoma"/>
                <w:color w:val="000000"/>
                <w:sz w:val="20"/>
                <w:szCs w:val="20"/>
              </w:rPr>
            </w:pPr>
          </w:p>
        </w:tc>
        <w:tc>
          <w:tcPr>
            <w:tcW w:w="1559" w:type="dxa"/>
            <w:tcBorders>
              <w:bottom w:val="single" w:sz="4" w:space="0" w:color="auto"/>
            </w:tcBorders>
            <w:vAlign w:val="bottom"/>
          </w:tcPr>
          <w:p w:rsidR="00C558CA" w:rsidRPr="00860801" w:rsidRDefault="00C558CA" w:rsidP="0079353C">
            <w:pPr>
              <w:autoSpaceDE w:val="0"/>
              <w:autoSpaceDN w:val="0"/>
              <w:adjustRightInd w:val="0"/>
              <w:spacing w:after="0" w:line="240" w:lineRule="auto"/>
              <w:rPr>
                <w:rFonts w:ascii="Cambria" w:hAnsi="Cambria" w:cs="Tahoma"/>
                <w:color w:val="000000"/>
                <w:sz w:val="20"/>
                <w:szCs w:val="20"/>
              </w:rPr>
            </w:pPr>
          </w:p>
        </w:tc>
        <w:tc>
          <w:tcPr>
            <w:tcW w:w="1701" w:type="dxa"/>
            <w:tcBorders>
              <w:bottom w:val="single" w:sz="4" w:space="0" w:color="auto"/>
            </w:tcBorders>
            <w:vAlign w:val="bottom"/>
          </w:tcPr>
          <w:p w:rsidR="00C558CA" w:rsidRPr="00860801" w:rsidRDefault="00C558CA" w:rsidP="0079353C">
            <w:pPr>
              <w:autoSpaceDE w:val="0"/>
              <w:autoSpaceDN w:val="0"/>
              <w:adjustRightInd w:val="0"/>
              <w:spacing w:after="0" w:line="240" w:lineRule="auto"/>
              <w:rPr>
                <w:rFonts w:ascii="Cambria" w:hAnsi="Cambria" w:cs="Tahoma"/>
                <w:color w:val="000000"/>
                <w:sz w:val="20"/>
                <w:szCs w:val="20"/>
              </w:rPr>
            </w:pPr>
          </w:p>
        </w:tc>
        <w:tc>
          <w:tcPr>
            <w:tcW w:w="1843" w:type="dxa"/>
            <w:tcBorders>
              <w:bottom w:val="single" w:sz="4" w:space="0" w:color="auto"/>
            </w:tcBorders>
            <w:vAlign w:val="bottom"/>
          </w:tcPr>
          <w:p w:rsidR="00C558CA" w:rsidRPr="00860801" w:rsidRDefault="00C558CA" w:rsidP="0079353C">
            <w:pPr>
              <w:autoSpaceDE w:val="0"/>
              <w:autoSpaceDN w:val="0"/>
              <w:adjustRightInd w:val="0"/>
              <w:spacing w:after="0" w:line="240" w:lineRule="auto"/>
              <w:rPr>
                <w:rFonts w:ascii="Cambria" w:hAnsi="Cambria" w:cs="Tahoma"/>
                <w:color w:val="000000"/>
                <w:sz w:val="20"/>
                <w:szCs w:val="20"/>
              </w:rPr>
            </w:pPr>
          </w:p>
        </w:tc>
      </w:tr>
      <w:tr w:rsidR="006C0232" w:rsidRPr="00860801" w:rsidTr="009D0077">
        <w:trPr>
          <w:trHeight w:hRule="exact" w:val="199"/>
        </w:trPr>
        <w:tc>
          <w:tcPr>
            <w:tcW w:w="1808" w:type="dxa"/>
            <w:tcBorders>
              <w:top w:val="single" w:sz="4" w:space="0" w:color="auto"/>
            </w:tcBorders>
            <w:vAlign w:val="bottom"/>
          </w:tcPr>
          <w:p w:rsidR="00C558CA" w:rsidRPr="00860801" w:rsidRDefault="00C558CA" w:rsidP="0079353C">
            <w:pPr>
              <w:autoSpaceDE w:val="0"/>
              <w:autoSpaceDN w:val="0"/>
              <w:adjustRightInd w:val="0"/>
              <w:spacing w:after="0" w:line="240" w:lineRule="auto"/>
              <w:rPr>
                <w:rFonts w:ascii="Cambria" w:hAnsi="Cambria" w:cs="Tahoma"/>
                <w:color w:val="000000"/>
                <w:sz w:val="20"/>
                <w:szCs w:val="20"/>
              </w:rPr>
            </w:pPr>
          </w:p>
        </w:tc>
        <w:tc>
          <w:tcPr>
            <w:tcW w:w="1418" w:type="dxa"/>
            <w:tcBorders>
              <w:top w:val="single" w:sz="4" w:space="0" w:color="auto"/>
            </w:tcBorders>
            <w:vAlign w:val="bottom"/>
          </w:tcPr>
          <w:p w:rsidR="00C558CA" w:rsidRPr="00860801" w:rsidRDefault="00C558CA" w:rsidP="0079353C">
            <w:pPr>
              <w:autoSpaceDE w:val="0"/>
              <w:autoSpaceDN w:val="0"/>
              <w:adjustRightInd w:val="0"/>
              <w:spacing w:after="0" w:line="240" w:lineRule="auto"/>
              <w:rPr>
                <w:rFonts w:ascii="Cambria" w:hAnsi="Cambria" w:cs="Tahoma"/>
                <w:color w:val="000000"/>
                <w:sz w:val="20"/>
                <w:szCs w:val="20"/>
              </w:rPr>
            </w:pPr>
          </w:p>
        </w:tc>
        <w:tc>
          <w:tcPr>
            <w:tcW w:w="1559" w:type="dxa"/>
            <w:tcBorders>
              <w:top w:val="single" w:sz="4" w:space="0" w:color="auto"/>
            </w:tcBorders>
            <w:vAlign w:val="bottom"/>
          </w:tcPr>
          <w:p w:rsidR="00C558CA" w:rsidRPr="00860801" w:rsidRDefault="00C558CA" w:rsidP="0079353C">
            <w:pPr>
              <w:autoSpaceDE w:val="0"/>
              <w:autoSpaceDN w:val="0"/>
              <w:adjustRightInd w:val="0"/>
              <w:spacing w:after="0" w:line="240" w:lineRule="auto"/>
              <w:rPr>
                <w:rFonts w:ascii="Cambria" w:hAnsi="Cambria" w:cs="Tahoma"/>
                <w:color w:val="000000"/>
                <w:sz w:val="20"/>
                <w:szCs w:val="20"/>
              </w:rPr>
            </w:pPr>
          </w:p>
        </w:tc>
        <w:tc>
          <w:tcPr>
            <w:tcW w:w="1701" w:type="dxa"/>
            <w:tcBorders>
              <w:top w:val="single" w:sz="4" w:space="0" w:color="auto"/>
            </w:tcBorders>
            <w:vAlign w:val="bottom"/>
          </w:tcPr>
          <w:p w:rsidR="00C558CA" w:rsidRPr="00860801" w:rsidRDefault="00C558CA" w:rsidP="0079353C">
            <w:pPr>
              <w:autoSpaceDE w:val="0"/>
              <w:autoSpaceDN w:val="0"/>
              <w:adjustRightInd w:val="0"/>
              <w:spacing w:after="0" w:line="240" w:lineRule="auto"/>
              <w:rPr>
                <w:rFonts w:ascii="Cambria" w:hAnsi="Cambria" w:cs="Tahoma"/>
                <w:color w:val="000000"/>
                <w:sz w:val="20"/>
                <w:szCs w:val="20"/>
              </w:rPr>
            </w:pPr>
          </w:p>
        </w:tc>
        <w:tc>
          <w:tcPr>
            <w:tcW w:w="1843" w:type="dxa"/>
            <w:tcBorders>
              <w:top w:val="single" w:sz="4" w:space="0" w:color="auto"/>
            </w:tcBorders>
            <w:vAlign w:val="bottom"/>
          </w:tcPr>
          <w:p w:rsidR="00C558CA" w:rsidRPr="00860801" w:rsidRDefault="00C558CA" w:rsidP="0079353C">
            <w:pPr>
              <w:autoSpaceDE w:val="0"/>
              <w:autoSpaceDN w:val="0"/>
              <w:adjustRightInd w:val="0"/>
              <w:spacing w:after="0" w:line="240" w:lineRule="auto"/>
              <w:rPr>
                <w:rFonts w:ascii="Cambria" w:hAnsi="Cambria" w:cs="Tahoma"/>
                <w:color w:val="000000"/>
                <w:sz w:val="20"/>
                <w:szCs w:val="20"/>
              </w:rPr>
            </w:pPr>
          </w:p>
        </w:tc>
      </w:tr>
      <w:tr w:rsidR="006C0232" w:rsidRPr="00860801" w:rsidTr="009D0077">
        <w:trPr>
          <w:trHeight w:val="333"/>
        </w:trPr>
        <w:tc>
          <w:tcPr>
            <w:tcW w:w="180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highlight w:val="yellow"/>
              </w:rPr>
            </w:pPr>
            <w:r w:rsidRPr="00860801">
              <w:rPr>
                <w:rFonts w:ascii="Cambria" w:hAnsi="Cambria" w:cs="Tahoma"/>
                <w:color w:val="000000"/>
                <w:sz w:val="20"/>
                <w:szCs w:val="20"/>
              </w:rPr>
              <w:t>None *</w:t>
            </w:r>
          </w:p>
        </w:tc>
        <w:tc>
          <w:tcPr>
            <w:tcW w:w="141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0.815809</w:t>
            </w:r>
          </w:p>
        </w:tc>
        <w:tc>
          <w:tcPr>
            <w:tcW w:w="1559"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514.6378</w:t>
            </w:r>
          </w:p>
        </w:tc>
        <w:tc>
          <w:tcPr>
            <w:tcW w:w="1701"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263.2603</w:t>
            </w:r>
          </w:p>
        </w:tc>
        <w:tc>
          <w:tcPr>
            <w:tcW w:w="1843"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0.0001</w:t>
            </w:r>
          </w:p>
        </w:tc>
      </w:tr>
      <w:tr w:rsidR="006C0232" w:rsidRPr="00860801" w:rsidTr="009D0077">
        <w:trPr>
          <w:trHeight w:val="333"/>
        </w:trPr>
        <w:tc>
          <w:tcPr>
            <w:tcW w:w="180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At most, 1 *</w:t>
            </w:r>
          </w:p>
        </w:tc>
        <w:tc>
          <w:tcPr>
            <w:tcW w:w="141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0.607082</w:t>
            </w:r>
          </w:p>
        </w:tc>
        <w:tc>
          <w:tcPr>
            <w:tcW w:w="1559"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343.7679</w:t>
            </w:r>
          </w:p>
        </w:tc>
        <w:tc>
          <w:tcPr>
            <w:tcW w:w="1701"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219.4016</w:t>
            </w:r>
          </w:p>
        </w:tc>
        <w:tc>
          <w:tcPr>
            <w:tcW w:w="1843"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0.0000</w:t>
            </w:r>
          </w:p>
        </w:tc>
      </w:tr>
      <w:tr w:rsidR="006C0232" w:rsidRPr="00860801" w:rsidTr="009D0077">
        <w:trPr>
          <w:trHeight w:val="333"/>
        </w:trPr>
        <w:tc>
          <w:tcPr>
            <w:tcW w:w="180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At most, 2 *</w:t>
            </w:r>
          </w:p>
        </w:tc>
        <w:tc>
          <w:tcPr>
            <w:tcW w:w="141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0.509970</w:t>
            </w:r>
          </w:p>
        </w:tc>
        <w:tc>
          <w:tcPr>
            <w:tcW w:w="1559"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249.4183</w:t>
            </w:r>
          </w:p>
        </w:tc>
        <w:tc>
          <w:tcPr>
            <w:tcW w:w="1701"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179.5098</w:t>
            </w:r>
          </w:p>
        </w:tc>
        <w:tc>
          <w:tcPr>
            <w:tcW w:w="1843"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0.0000</w:t>
            </w:r>
          </w:p>
        </w:tc>
      </w:tr>
      <w:tr w:rsidR="006C0232" w:rsidRPr="00860801" w:rsidTr="009D0077">
        <w:trPr>
          <w:trHeight w:val="333"/>
        </w:trPr>
        <w:tc>
          <w:tcPr>
            <w:tcW w:w="180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At most, 3 *</w:t>
            </w:r>
          </w:p>
        </w:tc>
        <w:tc>
          <w:tcPr>
            <w:tcW w:w="141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0.402966</w:t>
            </w:r>
          </w:p>
        </w:tc>
        <w:tc>
          <w:tcPr>
            <w:tcW w:w="1559"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177.3760</w:t>
            </w:r>
          </w:p>
        </w:tc>
        <w:tc>
          <w:tcPr>
            <w:tcW w:w="1701"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143.6691</w:t>
            </w:r>
          </w:p>
        </w:tc>
        <w:tc>
          <w:tcPr>
            <w:tcW w:w="1843"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0.0002</w:t>
            </w:r>
          </w:p>
        </w:tc>
      </w:tr>
      <w:tr w:rsidR="006C0232" w:rsidRPr="00860801" w:rsidTr="009D0077">
        <w:trPr>
          <w:trHeight w:val="333"/>
        </w:trPr>
        <w:tc>
          <w:tcPr>
            <w:tcW w:w="180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At most, 4 *</w:t>
            </w:r>
          </w:p>
        </w:tc>
        <w:tc>
          <w:tcPr>
            <w:tcW w:w="141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0.339862</w:t>
            </w:r>
          </w:p>
        </w:tc>
        <w:tc>
          <w:tcPr>
            <w:tcW w:w="1559"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125.2822</w:t>
            </w:r>
          </w:p>
        </w:tc>
        <w:tc>
          <w:tcPr>
            <w:tcW w:w="1701"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111.7805</w:t>
            </w:r>
          </w:p>
        </w:tc>
        <w:tc>
          <w:tcPr>
            <w:tcW w:w="1843"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0.0052</w:t>
            </w:r>
          </w:p>
        </w:tc>
      </w:tr>
      <w:tr w:rsidR="006C0232" w:rsidRPr="00860801" w:rsidTr="009D0077">
        <w:trPr>
          <w:trHeight w:val="333"/>
        </w:trPr>
        <w:tc>
          <w:tcPr>
            <w:tcW w:w="180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At most 5</w:t>
            </w:r>
          </w:p>
        </w:tc>
        <w:tc>
          <w:tcPr>
            <w:tcW w:w="141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0.278495</w:t>
            </w:r>
          </w:p>
        </w:tc>
        <w:tc>
          <w:tcPr>
            <w:tcW w:w="1559"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83.33619</w:t>
            </w:r>
          </w:p>
        </w:tc>
        <w:tc>
          <w:tcPr>
            <w:tcW w:w="1701"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83.93712</w:t>
            </w:r>
          </w:p>
        </w:tc>
        <w:tc>
          <w:tcPr>
            <w:tcW w:w="1843"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0.0552</w:t>
            </w:r>
          </w:p>
        </w:tc>
      </w:tr>
      <w:tr w:rsidR="006C0232" w:rsidRPr="00860801" w:rsidTr="009D0077">
        <w:trPr>
          <w:trHeight w:val="333"/>
        </w:trPr>
        <w:tc>
          <w:tcPr>
            <w:tcW w:w="180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At most 6</w:t>
            </w:r>
          </w:p>
        </w:tc>
        <w:tc>
          <w:tcPr>
            <w:tcW w:w="141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0.229857</w:t>
            </w:r>
          </w:p>
        </w:tc>
        <w:tc>
          <w:tcPr>
            <w:tcW w:w="1559"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50.36819</w:t>
            </w:r>
          </w:p>
        </w:tc>
        <w:tc>
          <w:tcPr>
            <w:tcW w:w="1701"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60.06141</w:t>
            </w:r>
          </w:p>
        </w:tc>
        <w:tc>
          <w:tcPr>
            <w:tcW w:w="1843"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0.2507</w:t>
            </w:r>
          </w:p>
        </w:tc>
      </w:tr>
      <w:tr w:rsidR="006C0232" w:rsidRPr="00860801" w:rsidTr="009D0077">
        <w:trPr>
          <w:trHeight w:val="333"/>
        </w:trPr>
        <w:tc>
          <w:tcPr>
            <w:tcW w:w="180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At most 7</w:t>
            </w:r>
          </w:p>
        </w:tc>
        <w:tc>
          <w:tcPr>
            <w:tcW w:w="141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0.096208</w:t>
            </w:r>
          </w:p>
        </w:tc>
        <w:tc>
          <w:tcPr>
            <w:tcW w:w="1559"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23.98907</w:t>
            </w:r>
          </w:p>
        </w:tc>
        <w:tc>
          <w:tcPr>
            <w:tcW w:w="1701"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40.17493</w:t>
            </w:r>
          </w:p>
        </w:tc>
        <w:tc>
          <w:tcPr>
            <w:tcW w:w="1843"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0.7066</w:t>
            </w:r>
          </w:p>
        </w:tc>
      </w:tr>
      <w:tr w:rsidR="006C0232" w:rsidRPr="00860801" w:rsidTr="009D0077">
        <w:trPr>
          <w:trHeight w:val="333"/>
        </w:trPr>
        <w:tc>
          <w:tcPr>
            <w:tcW w:w="180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At most 8</w:t>
            </w:r>
          </w:p>
        </w:tc>
        <w:tc>
          <w:tcPr>
            <w:tcW w:w="141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0.090624</w:t>
            </w:r>
          </w:p>
        </w:tc>
        <w:tc>
          <w:tcPr>
            <w:tcW w:w="1559"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13.77230</w:t>
            </w:r>
          </w:p>
        </w:tc>
        <w:tc>
          <w:tcPr>
            <w:tcW w:w="1701"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24.27596</w:t>
            </w:r>
          </w:p>
        </w:tc>
        <w:tc>
          <w:tcPr>
            <w:tcW w:w="1843"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0.5562</w:t>
            </w:r>
          </w:p>
        </w:tc>
      </w:tr>
      <w:tr w:rsidR="006C0232" w:rsidRPr="00860801" w:rsidTr="009D0077">
        <w:trPr>
          <w:trHeight w:val="333"/>
        </w:trPr>
        <w:tc>
          <w:tcPr>
            <w:tcW w:w="180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At most 9</w:t>
            </w:r>
          </w:p>
        </w:tc>
        <w:tc>
          <w:tcPr>
            <w:tcW w:w="1418"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0.037957</w:t>
            </w:r>
          </w:p>
        </w:tc>
        <w:tc>
          <w:tcPr>
            <w:tcW w:w="1559"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4.177692</w:t>
            </w:r>
          </w:p>
        </w:tc>
        <w:tc>
          <w:tcPr>
            <w:tcW w:w="1701"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12.32090</w:t>
            </w:r>
          </w:p>
        </w:tc>
        <w:tc>
          <w:tcPr>
            <w:tcW w:w="1843" w:type="dxa"/>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0.6852</w:t>
            </w:r>
          </w:p>
        </w:tc>
      </w:tr>
      <w:tr w:rsidR="006C0232" w:rsidRPr="00860801" w:rsidTr="009D0077">
        <w:trPr>
          <w:trHeight w:val="333"/>
        </w:trPr>
        <w:tc>
          <w:tcPr>
            <w:tcW w:w="1808" w:type="dxa"/>
            <w:tcBorders>
              <w:bottom w:val="single" w:sz="4" w:space="0" w:color="auto"/>
            </w:tcBorders>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At most 10</w:t>
            </w:r>
          </w:p>
        </w:tc>
        <w:tc>
          <w:tcPr>
            <w:tcW w:w="1418" w:type="dxa"/>
            <w:tcBorders>
              <w:bottom w:val="single" w:sz="4" w:space="0" w:color="auto"/>
            </w:tcBorders>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0.002663</w:t>
            </w:r>
          </w:p>
        </w:tc>
        <w:tc>
          <w:tcPr>
            <w:tcW w:w="1559" w:type="dxa"/>
            <w:tcBorders>
              <w:bottom w:val="single" w:sz="4" w:space="0" w:color="auto"/>
            </w:tcBorders>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0.269333</w:t>
            </w:r>
          </w:p>
        </w:tc>
        <w:tc>
          <w:tcPr>
            <w:tcW w:w="1701" w:type="dxa"/>
            <w:tcBorders>
              <w:bottom w:val="single" w:sz="4" w:space="0" w:color="auto"/>
            </w:tcBorders>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4.129906</w:t>
            </w:r>
          </w:p>
        </w:tc>
        <w:tc>
          <w:tcPr>
            <w:tcW w:w="1843" w:type="dxa"/>
            <w:tcBorders>
              <w:bottom w:val="single" w:sz="4" w:space="0" w:color="auto"/>
            </w:tcBorders>
            <w:vAlign w:val="bottom"/>
          </w:tcPr>
          <w:p w:rsidR="00C558CA" w:rsidRPr="00860801" w:rsidRDefault="00F35E8B" w:rsidP="0079353C">
            <w:pPr>
              <w:autoSpaceDE w:val="0"/>
              <w:autoSpaceDN w:val="0"/>
              <w:adjustRightInd w:val="0"/>
              <w:spacing w:after="0" w:line="240" w:lineRule="auto"/>
              <w:jc w:val="center"/>
              <w:rPr>
                <w:rFonts w:ascii="Cambria" w:hAnsi="Cambria" w:cs="Tahoma"/>
                <w:color w:val="000000"/>
                <w:sz w:val="20"/>
                <w:szCs w:val="20"/>
              </w:rPr>
            </w:pPr>
            <w:r w:rsidRPr="00860801">
              <w:rPr>
                <w:rFonts w:ascii="Cambria" w:hAnsi="Cambria" w:cs="Tahoma"/>
                <w:color w:val="000000"/>
                <w:sz w:val="20"/>
                <w:szCs w:val="20"/>
              </w:rPr>
              <w:t>0.6640</w:t>
            </w:r>
          </w:p>
        </w:tc>
      </w:tr>
    </w:tbl>
    <w:p w:rsidR="00C558CA" w:rsidRPr="00002900" w:rsidRDefault="00F35E8B" w:rsidP="00C558CA">
      <w:pPr>
        <w:spacing w:after="0" w:line="360" w:lineRule="auto"/>
        <w:ind w:firstLine="709"/>
        <w:jc w:val="both"/>
        <w:rPr>
          <w:rFonts w:ascii="Cambria" w:hAnsi="Cambria" w:cs="Tahoma"/>
          <w:sz w:val="24"/>
          <w:szCs w:val="24"/>
        </w:rPr>
      </w:pPr>
      <w:r w:rsidRPr="00002900">
        <w:rPr>
          <w:rFonts w:ascii="Cambria" w:hAnsi="Cambria" w:cs="Tahoma"/>
          <w:sz w:val="24"/>
          <w:szCs w:val="24"/>
        </w:rPr>
        <w:t>Source: Data processed 2022</w:t>
      </w:r>
    </w:p>
    <w:p w:rsidR="009D0077" w:rsidRPr="00002900" w:rsidRDefault="009D0077" w:rsidP="00764EFC">
      <w:pPr>
        <w:spacing w:after="0" w:line="360" w:lineRule="auto"/>
        <w:ind w:firstLine="709"/>
        <w:jc w:val="both"/>
        <w:rPr>
          <w:rFonts w:ascii="Cambria" w:hAnsi="Cambria" w:cs="Tahoma"/>
          <w:sz w:val="24"/>
          <w:szCs w:val="24"/>
        </w:rPr>
      </w:pPr>
    </w:p>
    <w:p w:rsidR="00D83B56" w:rsidRPr="00F97264" w:rsidRDefault="00F35E8B" w:rsidP="00764EFC">
      <w:pPr>
        <w:spacing w:after="0" w:line="360" w:lineRule="auto"/>
        <w:ind w:firstLine="709"/>
        <w:jc w:val="both"/>
        <w:rPr>
          <w:rFonts w:ascii="Cambria" w:hAnsi="Cambria" w:cs="Tahoma"/>
        </w:rPr>
      </w:pPr>
      <w:r w:rsidRPr="00F97264">
        <w:rPr>
          <w:rFonts w:ascii="Cambria" w:hAnsi="Cambria" w:cs="Tahoma"/>
        </w:rPr>
        <w:lastRenderedPageBreak/>
        <w:t xml:space="preserve">Based on the test results of the Johansen </w:t>
      </w:r>
      <w:proofErr w:type="spellStart"/>
      <w:r w:rsidRPr="00F97264">
        <w:rPr>
          <w:rFonts w:ascii="Cambria" w:hAnsi="Cambria" w:cs="Tahoma"/>
        </w:rPr>
        <w:t>Cointegration</w:t>
      </w:r>
      <w:proofErr w:type="spellEnd"/>
      <w:r w:rsidRPr="00F97264">
        <w:rPr>
          <w:rFonts w:ascii="Cambria" w:hAnsi="Cambria" w:cs="Tahoma"/>
        </w:rPr>
        <w:t xml:space="preserve"> Test, the </w:t>
      </w:r>
      <w:proofErr w:type="spellStart"/>
      <w:r w:rsidRPr="00F97264">
        <w:rPr>
          <w:rFonts w:ascii="Cambria" w:hAnsi="Cambria" w:cs="Tahoma"/>
        </w:rPr>
        <w:t>cointegration</w:t>
      </w:r>
      <w:proofErr w:type="spellEnd"/>
      <w:r w:rsidRPr="00F97264">
        <w:rPr>
          <w:rFonts w:ascii="Cambria" w:hAnsi="Cambria" w:cs="Tahoma"/>
        </w:rPr>
        <w:t xml:space="preserve"> test results show that there is a </w:t>
      </w:r>
      <w:proofErr w:type="spellStart"/>
      <w:r w:rsidRPr="00F97264">
        <w:rPr>
          <w:rFonts w:ascii="Cambria" w:hAnsi="Cambria" w:cs="Tahoma"/>
        </w:rPr>
        <w:t>cointegration</w:t>
      </w:r>
      <w:proofErr w:type="spellEnd"/>
      <w:r w:rsidRPr="00F97264">
        <w:rPr>
          <w:rFonts w:ascii="Cambria" w:hAnsi="Cambria" w:cs="Tahoma"/>
        </w:rPr>
        <w:t xml:space="preserve"> relationship (long-term integration) between the independent variables, namely Total assets, TPF, NOM, FDR, NPF, ROA, </w:t>
      </w:r>
      <w:proofErr w:type="spellStart"/>
      <w:r w:rsidRPr="00F97264">
        <w:rPr>
          <w:rFonts w:ascii="Cambria" w:hAnsi="Cambria" w:cs="Tahoma"/>
        </w:rPr>
        <w:t>ERPMudarabah</w:t>
      </w:r>
      <w:proofErr w:type="spellEnd"/>
      <w:r w:rsidRPr="00F97264">
        <w:rPr>
          <w:rFonts w:ascii="Cambria" w:hAnsi="Cambria" w:cs="Tahoma"/>
        </w:rPr>
        <w:t xml:space="preserve">, </w:t>
      </w:r>
      <w:proofErr w:type="spellStart"/>
      <w:r w:rsidRPr="00F97264">
        <w:rPr>
          <w:rFonts w:ascii="Cambria" w:hAnsi="Cambria" w:cs="Tahoma"/>
        </w:rPr>
        <w:t>ERPMusyarakah</w:t>
      </w:r>
      <w:proofErr w:type="spellEnd"/>
      <w:r w:rsidRPr="00F97264">
        <w:rPr>
          <w:rFonts w:ascii="Cambria" w:hAnsi="Cambria" w:cs="Tahoma"/>
        </w:rPr>
        <w:t xml:space="preserve">, BI Rate and Inflation on the dependent variable Banking Financing Sharia. Johansen </w:t>
      </w:r>
      <w:proofErr w:type="spellStart"/>
      <w:r w:rsidRPr="00F97264">
        <w:rPr>
          <w:rFonts w:ascii="Cambria" w:hAnsi="Cambria" w:cs="Tahoma"/>
        </w:rPr>
        <w:t>Cointegration</w:t>
      </w:r>
      <w:proofErr w:type="spellEnd"/>
      <w:r w:rsidRPr="00F97264">
        <w:rPr>
          <w:rFonts w:ascii="Cambria" w:hAnsi="Cambria" w:cs="Tahoma"/>
        </w:rPr>
        <w:t xml:space="preserve"> Test with </w:t>
      </w:r>
      <w:proofErr w:type="spellStart"/>
      <w:r w:rsidRPr="00F97264">
        <w:rPr>
          <w:rFonts w:ascii="Cambria" w:hAnsi="Cambria" w:cs="Tahoma"/>
        </w:rPr>
        <w:t>cointegration</w:t>
      </w:r>
      <w:proofErr w:type="spellEnd"/>
      <w:r w:rsidRPr="00F97264">
        <w:rPr>
          <w:rFonts w:ascii="Cambria" w:hAnsi="Cambria" w:cs="Tahoma"/>
        </w:rPr>
        <w:t xml:space="preserve"> testing criteria based on trace stats or probability on each </w:t>
      </w:r>
      <w:r w:rsidR="00E5629A" w:rsidRPr="00F97264">
        <w:rPr>
          <w:rFonts w:ascii="Cambria" w:hAnsi="Cambria" w:cs="Tahoma"/>
          <w:color w:val="000000"/>
        </w:rPr>
        <w:t>Hypothesized</w:t>
      </w:r>
      <w:r w:rsidR="00764EFC" w:rsidRPr="00F97264">
        <w:rPr>
          <w:rFonts w:ascii="Cambria" w:hAnsi="Cambria" w:cs="Tahoma"/>
        </w:rPr>
        <w:t xml:space="preserve">, if the trace-statistics value &lt;critical value, then the value of the variable is not </w:t>
      </w:r>
      <w:proofErr w:type="spellStart"/>
      <w:r w:rsidR="00764EFC" w:rsidRPr="00F97264">
        <w:rPr>
          <w:rFonts w:ascii="Cambria" w:hAnsi="Cambria" w:cs="Tahoma"/>
        </w:rPr>
        <w:t>cointegrated</w:t>
      </w:r>
      <w:proofErr w:type="spellEnd"/>
      <w:r w:rsidR="00764EFC" w:rsidRPr="00F97264">
        <w:rPr>
          <w:rFonts w:ascii="Cambria" w:hAnsi="Cambria" w:cs="Tahoma"/>
        </w:rPr>
        <w:t xml:space="preserve">. Conversely, if the trace-statistics value &gt; critical value, then the value of the variable is </w:t>
      </w:r>
      <w:proofErr w:type="spellStart"/>
      <w:r w:rsidR="00764EFC" w:rsidRPr="00F97264">
        <w:rPr>
          <w:rFonts w:ascii="Cambria" w:hAnsi="Cambria" w:cs="Tahoma"/>
        </w:rPr>
        <w:t>cointegrated</w:t>
      </w:r>
      <w:proofErr w:type="spellEnd"/>
      <w:r w:rsidR="00764EFC" w:rsidRPr="00F97264">
        <w:rPr>
          <w:rFonts w:ascii="Cambria" w:hAnsi="Cambria" w:cs="Tahoma"/>
        </w:rPr>
        <w:t xml:space="preserve">. </w:t>
      </w:r>
      <w:r w:rsidR="000870D3" w:rsidRPr="00F97264">
        <w:rPr>
          <w:rFonts w:ascii="Cambria" w:hAnsi="Cambria" w:cs="Tahoma"/>
        </w:rPr>
        <w:t xml:space="preserve">The data above shows five </w:t>
      </w:r>
      <w:proofErr w:type="spellStart"/>
      <w:r w:rsidR="000870D3" w:rsidRPr="00F97264">
        <w:rPr>
          <w:rFonts w:ascii="Cambria" w:hAnsi="Cambria" w:cs="Tahoma"/>
        </w:rPr>
        <w:t>cointegrated</w:t>
      </w:r>
      <w:proofErr w:type="spellEnd"/>
      <w:r w:rsidR="000870D3" w:rsidRPr="00F97264">
        <w:rPr>
          <w:rFonts w:ascii="Cambria" w:hAnsi="Cambria" w:cs="Tahoma"/>
        </w:rPr>
        <w:t xml:space="preserve"> equations at a significance level of 5%</w:t>
      </w:r>
    </w:p>
    <w:p w:rsidR="00DC2FA4" w:rsidRPr="00F97264" w:rsidRDefault="00F35E8B" w:rsidP="00D83B56">
      <w:pPr>
        <w:pStyle w:val="ListParagraph"/>
        <w:numPr>
          <w:ilvl w:val="0"/>
          <w:numId w:val="5"/>
        </w:numPr>
        <w:spacing w:after="0" w:line="360" w:lineRule="auto"/>
        <w:ind w:left="426"/>
        <w:jc w:val="both"/>
        <w:rPr>
          <w:rFonts w:ascii="Cambria" w:hAnsi="Cambria" w:cs="Tahoma"/>
          <w:b/>
        </w:rPr>
      </w:pPr>
      <w:r w:rsidRPr="00F97264">
        <w:rPr>
          <w:rFonts w:ascii="Cambria" w:hAnsi="Cambria" w:cs="Tahoma"/>
          <w:b/>
        </w:rPr>
        <w:t>VECM Test Analysis</w:t>
      </w:r>
    </w:p>
    <w:p w:rsidR="00D83B56" w:rsidRPr="00F97264" w:rsidRDefault="00F97264" w:rsidP="00F97264">
      <w:pPr>
        <w:spacing w:after="0" w:line="360" w:lineRule="auto"/>
        <w:ind w:left="66"/>
        <w:rPr>
          <w:rFonts w:ascii="Cambria" w:hAnsi="Cambria" w:cs="Tahoma"/>
          <w:b/>
        </w:rPr>
      </w:pPr>
      <w:r w:rsidRPr="00F97264">
        <w:rPr>
          <w:rFonts w:ascii="Cambria" w:hAnsi="Cambria" w:cs="Tahoma"/>
          <w:b/>
          <w:lang w:val="id-ID"/>
        </w:rPr>
        <w:t xml:space="preserve">Table 5. </w:t>
      </w:r>
      <w:r w:rsidR="00F35E8B" w:rsidRPr="00F97264">
        <w:rPr>
          <w:rFonts w:ascii="Cambria" w:hAnsi="Cambria" w:cs="Tahoma"/>
          <w:b/>
        </w:rPr>
        <w:t>VECM test table</w:t>
      </w:r>
    </w:p>
    <w:tbl>
      <w:tblPr>
        <w:tblW w:w="9214" w:type="dxa"/>
        <w:jc w:val="center"/>
        <w:tblLook w:val="04A0" w:firstRow="1" w:lastRow="0" w:firstColumn="1" w:lastColumn="0" w:noHBand="0" w:noVBand="1"/>
      </w:tblPr>
      <w:tblGrid>
        <w:gridCol w:w="1843"/>
        <w:gridCol w:w="1275"/>
        <w:gridCol w:w="1731"/>
        <w:gridCol w:w="1747"/>
        <w:gridCol w:w="1275"/>
        <w:gridCol w:w="1343"/>
      </w:tblGrid>
      <w:tr w:rsidR="006C0232" w:rsidRPr="00002900" w:rsidTr="008D5E9B">
        <w:trPr>
          <w:trHeight w:val="108"/>
          <w:jc w:val="center"/>
        </w:trPr>
        <w:tc>
          <w:tcPr>
            <w:tcW w:w="4849" w:type="dxa"/>
            <w:gridSpan w:val="3"/>
            <w:tcBorders>
              <w:top w:val="single" w:sz="4" w:space="0" w:color="auto"/>
              <w:left w:val="nil"/>
              <w:bottom w:val="single" w:sz="8" w:space="0" w:color="auto"/>
              <w:right w:val="single" w:sz="4" w:space="0" w:color="auto"/>
            </w:tcBorders>
            <w:shd w:val="clear" w:color="auto" w:fill="auto"/>
            <w:noWrap/>
            <w:vAlign w:val="center"/>
            <w:hideMark/>
          </w:tcPr>
          <w:p w:rsidR="008D5E9B" w:rsidRPr="00860801" w:rsidRDefault="00F35E8B" w:rsidP="008D5E9B">
            <w:pPr>
              <w:spacing w:after="0" w:line="240" w:lineRule="auto"/>
              <w:jc w:val="center"/>
              <w:rPr>
                <w:rFonts w:ascii="Cambria" w:eastAsia="Times New Roman" w:hAnsi="Cambria" w:cs="Tahoma"/>
                <w:b/>
                <w:bCs/>
                <w:color w:val="000000"/>
                <w:sz w:val="20"/>
                <w:szCs w:val="20"/>
                <w:lang w:eastAsia="id-ID"/>
              </w:rPr>
            </w:pPr>
            <w:r w:rsidRPr="00860801">
              <w:rPr>
                <w:rFonts w:ascii="Cambria" w:eastAsia="Times New Roman" w:hAnsi="Cambria" w:cs="Tahoma"/>
                <w:b/>
                <w:bCs/>
                <w:color w:val="000000"/>
                <w:sz w:val="20"/>
                <w:szCs w:val="20"/>
                <w:lang w:eastAsia="id-ID"/>
              </w:rPr>
              <w:t>VECM test results in the short term</w:t>
            </w:r>
          </w:p>
        </w:tc>
        <w:tc>
          <w:tcPr>
            <w:tcW w:w="4365" w:type="dxa"/>
            <w:gridSpan w:val="3"/>
            <w:tcBorders>
              <w:top w:val="single" w:sz="4" w:space="0" w:color="auto"/>
              <w:left w:val="single" w:sz="4" w:space="0" w:color="auto"/>
              <w:bottom w:val="single" w:sz="8" w:space="0" w:color="auto"/>
              <w:right w:val="nil"/>
            </w:tcBorders>
            <w:shd w:val="clear" w:color="auto" w:fill="auto"/>
            <w:noWrap/>
            <w:vAlign w:val="center"/>
            <w:hideMark/>
          </w:tcPr>
          <w:p w:rsidR="008D5E9B" w:rsidRPr="00860801" w:rsidRDefault="00F35E8B" w:rsidP="008D5E9B">
            <w:pPr>
              <w:spacing w:after="0" w:line="240" w:lineRule="auto"/>
              <w:jc w:val="center"/>
              <w:rPr>
                <w:rFonts w:ascii="Cambria" w:eastAsia="Times New Roman" w:hAnsi="Cambria" w:cs="Tahoma"/>
                <w:b/>
                <w:bCs/>
                <w:color w:val="000000"/>
                <w:sz w:val="20"/>
                <w:szCs w:val="20"/>
                <w:lang w:eastAsia="id-ID"/>
              </w:rPr>
            </w:pPr>
            <w:r w:rsidRPr="00860801">
              <w:rPr>
                <w:rFonts w:ascii="Cambria" w:eastAsia="Times New Roman" w:hAnsi="Cambria" w:cs="Tahoma"/>
                <w:b/>
                <w:bCs/>
                <w:color w:val="000000"/>
                <w:sz w:val="20"/>
                <w:szCs w:val="20"/>
                <w:lang w:eastAsia="id-ID"/>
              </w:rPr>
              <w:t>VECM test results on the long term</w:t>
            </w:r>
          </w:p>
        </w:tc>
      </w:tr>
      <w:tr w:rsidR="006C0232" w:rsidRPr="00002900" w:rsidTr="008D5E9B">
        <w:trPr>
          <w:trHeight w:val="108"/>
          <w:jc w:val="center"/>
        </w:trPr>
        <w:tc>
          <w:tcPr>
            <w:tcW w:w="1843" w:type="dxa"/>
            <w:tcBorders>
              <w:top w:val="nil"/>
              <w:left w:val="nil"/>
              <w:bottom w:val="single" w:sz="8" w:space="0" w:color="auto"/>
              <w:right w:val="nil"/>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Variables</w:t>
            </w:r>
          </w:p>
        </w:tc>
        <w:tc>
          <w:tcPr>
            <w:tcW w:w="1275" w:type="dxa"/>
            <w:tcBorders>
              <w:top w:val="nil"/>
              <w:left w:val="nil"/>
              <w:bottom w:val="single" w:sz="8" w:space="0" w:color="auto"/>
              <w:right w:val="nil"/>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Coefficient</w:t>
            </w:r>
          </w:p>
        </w:tc>
        <w:tc>
          <w:tcPr>
            <w:tcW w:w="1731" w:type="dxa"/>
            <w:tcBorders>
              <w:top w:val="nil"/>
              <w:left w:val="nil"/>
              <w:bottom w:val="single" w:sz="8" w:space="0" w:color="auto"/>
              <w:right w:val="single" w:sz="4" w:space="0" w:color="auto"/>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T-Statistics</w:t>
            </w:r>
          </w:p>
        </w:tc>
        <w:tc>
          <w:tcPr>
            <w:tcW w:w="1747" w:type="dxa"/>
            <w:tcBorders>
              <w:top w:val="nil"/>
              <w:left w:val="single" w:sz="4" w:space="0" w:color="auto"/>
              <w:bottom w:val="single" w:sz="8" w:space="0" w:color="auto"/>
              <w:right w:val="nil"/>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Variables</w:t>
            </w:r>
          </w:p>
        </w:tc>
        <w:tc>
          <w:tcPr>
            <w:tcW w:w="1275" w:type="dxa"/>
            <w:tcBorders>
              <w:top w:val="nil"/>
              <w:left w:val="nil"/>
              <w:bottom w:val="single" w:sz="8" w:space="0" w:color="auto"/>
              <w:right w:val="nil"/>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Coefficients</w:t>
            </w:r>
          </w:p>
        </w:tc>
        <w:tc>
          <w:tcPr>
            <w:tcW w:w="1343" w:type="dxa"/>
            <w:tcBorders>
              <w:top w:val="nil"/>
              <w:left w:val="nil"/>
              <w:bottom w:val="single" w:sz="8" w:space="0" w:color="auto"/>
              <w:right w:val="nil"/>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T-Statistics</w:t>
            </w:r>
          </w:p>
        </w:tc>
      </w:tr>
      <w:tr w:rsidR="006C0232" w:rsidRPr="00002900" w:rsidTr="008D5E9B">
        <w:trPr>
          <w:trHeight w:val="183"/>
          <w:jc w:val="center"/>
        </w:trPr>
        <w:tc>
          <w:tcPr>
            <w:tcW w:w="1843" w:type="dxa"/>
            <w:tcBorders>
              <w:top w:val="nil"/>
              <w:left w:val="nil"/>
              <w:bottom w:val="nil"/>
              <w:right w:val="nil"/>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CointEq1</w:t>
            </w:r>
          </w:p>
        </w:tc>
        <w:tc>
          <w:tcPr>
            <w:tcW w:w="1275" w:type="dxa"/>
            <w:tcBorders>
              <w:top w:val="nil"/>
              <w:left w:val="nil"/>
              <w:bottom w:val="nil"/>
              <w:right w:val="nil"/>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-0.019701</w:t>
            </w:r>
          </w:p>
        </w:tc>
        <w:tc>
          <w:tcPr>
            <w:tcW w:w="1731" w:type="dxa"/>
            <w:tcBorders>
              <w:top w:val="nil"/>
              <w:left w:val="nil"/>
              <w:bottom w:val="nil"/>
              <w:right w:val="single" w:sz="4" w:space="0" w:color="auto"/>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[-4.54863]*</w:t>
            </w:r>
          </w:p>
        </w:tc>
        <w:tc>
          <w:tcPr>
            <w:tcW w:w="1747" w:type="dxa"/>
            <w:tcBorders>
              <w:top w:val="nil"/>
              <w:left w:val="single" w:sz="4" w:space="0" w:color="auto"/>
              <w:bottom w:val="nil"/>
              <w:right w:val="nil"/>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TA(-1)</w:t>
            </w:r>
          </w:p>
        </w:tc>
        <w:tc>
          <w:tcPr>
            <w:tcW w:w="1275" w:type="dxa"/>
            <w:tcBorders>
              <w:top w:val="nil"/>
              <w:left w:val="nil"/>
              <w:bottom w:val="nil"/>
              <w:right w:val="nil"/>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-3,388,254</w:t>
            </w:r>
          </w:p>
        </w:tc>
        <w:tc>
          <w:tcPr>
            <w:tcW w:w="1343" w:type="dxa"/>
            <w:tcBorders>
              <w:top w:val="nil"/>
              <w:left w:val="nil"/>
              <w:bottom w:val="nil"/>
              <w:right w:val="nil"/>
            </w:tcBorders>
            <w:shd w:val="clear" w:color="auto" w:fill="auto"/>
            <w:vAlign w:val="center"/>
            <w:hideMark/>
          </w:tcPr>
          <w:p w:rsidR="008D5E9B"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[-0.60712]</w:t>
            </w:r>
          </w:p>
        </w:tc>
      </w:tr>
      <w:tr w:rsidR="006C0232" w:rsidRPr="00002900" w:rsidTr="008D5E9B">
        <w:trPr>
          <w:trHeight w:val="272"/>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D(TA(-1))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3.855174</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[ 0.65044]</w:t>
            </w:r>
          </w:p>
        </w:tc>
        <w:tc>
          <w:tcPr>
            <w:tcW w:w="1747" w:type="dxa"/>
            <w:tcBorders>
              <w:top w:val="nil"/>
              <w:left w:val="single" w:sz="4" w:space="0" w:color="auto"/>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DPK(-1)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57.77287</w:t>
            </w:r>
          </w:p>
        </w:tc>
        <w:tc>
          <w:tcPr>
            <w:tcW w:w="13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[ 10.2327]*</w:t>
            </w: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D(TA(-2))</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8.590538</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[ 1.26520]</w:t>
            </w:r>
          </w:p>
        </w:tc>
        <w:tc>
          <w:tcPr>
            <w:tcW w:w="1747" w:type="dxa"/>
            <w:tcBorders>
              <w:top w:val="nil"/>
              <w:left w:val="single" w:sz="4" w:space="0" w:color="auto"/>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NOM(-1)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12648901</w:t>
            </w:r>
          </w:p>
        </w:tc>
        <w:tc>
          <w:tcPr>
            <w:tcW w:w="13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[ 2.60323]*</w:t>
            </w: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D(TA(-3))</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7.353793</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[ 1.19101]</w:t>
            </w:r>
          </w:p>
        </w:tc>
        <w:tc>
          <w:tcPr>
            <w:tcW w:w="1747" w:type="dxa"/>
            <w:tcBorders>
              <w:top w:val="nil"/>
              <w:left w:val="single" w:sz="4" w:space="0" w:color="auto"/>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FDR(-1)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-569998.6</w:t>
            </w:r>
          </w:p>
        </w:tc>
        <w:tc>
          <w:tcPr>
            <w:tcW w:w="13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[-1.08034]</w:t>
            </w: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D(DPK(-1))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1.208075</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[ 4.60423]*</w:t>
            </w:r>
          </w:p>
        </w:tc>
        <w:tc>
          <w:tcPr>
            <w:tcW w:w="1747" w:type="dxa"/>
            <w:tcBorders>
              <w:top w:val="nil"/>
              <w:left w:val="single" w:sz="4" w:space="0" w:color="auto"/>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NPF(-1)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-13270930</w:t>
            </w:r>
          </w:p>
        </w:tc>
        <w:tc>
          <w:tcPr>
            <w:tcW w:w="13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[-3.84989]*</w:t>
            </w: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D(DPK(-2))</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1.174109</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[ 4.21724]*</w:t>
            </w:r>
          </w:p>
        </w:tc>
        <w:tc>
          <w:tcPr>
            <w:tcW w:w="1747" w:type="dxa"/>
            <w:tcBorders>
              <w:top w:val="nil"/>
              <w:left w:val="single" w:sz="4" w:space="0" w:color="auto"/>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ROA(-1)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18087162</w:t>
            </w:r>
          </w:p>
        </w:tc>
        <w:tc>
          <w:tcPr>
            <w:tcW w:w="13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[ 1.75814]*</w:t>
            </w: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D(DPK(-3))</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0.553488</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[ 2.21569]*</w:t>
            </w:r>
          </w:p>
        </w:tc>
        <w:tc>
          <w:tcPr>
            <w:tcW w:w="1747" w:type="dxa"/>
            <w:tcBorders>
              <w:top w:val="nil"/>
              <w:left w:val="single" w:sz="4" w:space="0" w:color="auto"/>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ERPMUDH(-1)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-1805562.</w:t>
            </w:r>
          </w:p>
        </w:tc>
        <w:tc>
          <w:tcPr>
            <w:tcW w:w="13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[-1.07474]</w:t>
            </w: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D(NOM(-1))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-860925.6</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[-1.97848]*</w:t>
            </w:r>
          </w:p>
        </w:tc>
        <w:tc>
          <w:tcPr>
            <w:tcW w:w="1747" w:type="dxa"/>
            <w:tcBorders>
              <w:top w:val="nil"/>
              <w:left w:val="single" w:sz="4" w:space="0" w:color="auto"/>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ERPMUSY(-1)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4381917.</w:t>
            </w:r>
          </w:p>
        </w:tc>
        <w:tc>
          <w:tcPr>
            <w:tcW w:w="13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[ 2.77136]*</w:t>
            </w: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D(NOM(-2))</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-8,538,576</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[-0.02047]</w:t>
            </w:r>
          </w:p>
        </w:tc>
        <w:tc>
          <w:tcPr>
            <w:tcW w:w="1747" w:type="dxa"/>
            <w:tcBorders>
              <w:top w:val="nil"/>
              <w:left w:val="single" w:sz="4" w:space="0" w:color="auto"/>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BIRATE(-1)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12284478</w:t>
            </w:r>
          </w:p>
        </w:tc>
        <w:tc>
          <w:tcPr>
            <w:tcW w:w="13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[ 10.8021]*</w:t>
            </w:r>
          </w:p>
        </w:tc>
      </w:tr>
      <w:tr w:rsidR="006C0232" w:rsidRPr="00002900" w:rsidTr="008D5E9B">
        <w:trPr>
          <w:trHeight w:val="272"/>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D(NOM(-3))</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-537739.6</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[-1.46940]</w:t>
            </w:r>
          </w:p>
        </w:tc>
        <w:tc>
          <w:tcPr>
            <w:tcW w:w="1747" w:type="dxa"/>
            <w:tcBorders>
              <w:top w:val="nil"/>
              <w:left w:val="single" w:sz="4" w:space="0" w:color="auto"/>
              <w:bottom w:val="single" w:sz="8" w:space="0" w:color="auto"/>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INFLATION(-1)</w:t>
            </w:r>
          </w:p>
        </w:tc>
        <w:tc>
          <w:tcPr>
            <w:tcW w:w="1275" w:type="dxa"/>
            <w:tcBorders>
              <w:top w:val="nil"/>
              <w:left w:val="nil"/>
              <w:bottom w:val="single" w:sz="8" w:space="0" w:color="auto"/>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-1,484,935</w:t>
            </w:r>
          </w:p>
        </w:tc>
        <w:tc>
          <w:tcPr>
            <w:tcW w:w="1343" w:type="dxa"/>
            <w:tcBorders>
              <w:top w:val="nil"/>
              <w:left w:val="nil"/>
              <w:bottom w:val="single" w:sz="8" w:space="0" w:color="auto"/>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[-1.77724]*</w:t>
            </w: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D(FDR(-1))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33653.57</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[ 0.67098]</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272"/>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D(FDR(-2))</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56403.68</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[ 1.16335]</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D(FDR(-3))</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40553.59</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[ 0.85043]</w:t>
            </w:r>
          </w:p>
        </w:tc>
        <w:tc>
          <w:tcPr>
            <w:tcW w:w="1747" w:type="dxa"/>
            <w:tcBorders>
              <w:top w:val="nil"/>
              <w:left w:val="single" w:sz="4" w:space="0" w:color="auto"/>
              <w:bottom w:val="nil"/>
              <w:right w:val="nil"/>
            </w:tcBorders>
            <w:shd w:val="clear" w:color="auto" w:fill="auto"/>
            <w:noWrap/>
            <w:vAlign w:val="bottom"/>
            <w:hideMark/>
          </w:tcPr>
          <w:p w:rsidR="0063180E" w:rsidRPr="00002900" w:rsidRDefault="0063180E"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D(NPF(-1))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-177803.4</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[-0.73347]</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D(NPF(-2))</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-87554.30</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[-0.37029]</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D(NPF(-3))</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-214007.1</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[-0.83184]</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D(ROA(-1))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1652975.</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[ 2.36243]*</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D(ROA(-2))</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73081.35</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[ 0.10833]</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D(ROA(-3))</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-1393144.</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[-2.30353]*</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D(ERPMUDH(-1))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282767.1</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[ 1.83322]*</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D(ERPMUDH(-2))</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157839.1</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[ 1.10451]</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D(ERPMUDH(-3))</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55088.68</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[ 0.44910]</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D(ERPMUSY(-1))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5734422</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[ 0.05178]</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D(ERPMUSY(-2))</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-172553.5</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[-1.10931]</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26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D(ERPMUSY(-3))</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-210961.6</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[-1.59890]</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D(BIRATE(-1))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33531.47</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[ 0.21082]</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D(BIRATE(-2))</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157036.3</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[ 1.06878]</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D(BIRATE(-3))</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247389.9</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[ 1.61136]</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D(INFLATION(-1))</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3.020066</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[ 0.33719]</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D(INFLATION(-2))</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-1,109,135</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[-0.90149]</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D(INFLATION(-3))</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-1,900,847</w:t>
            </w:r>
          </w:p>
        </w:tc>
        <w:tc>
          <w:tcPr>
            <w:tcW w:w="1731" w:type="dxa"/>
            <w:tcBorders>
              <w:top w:val="nil"/>
              <w:left w:val="nil"/>
              <w:bottom w:val="nil"/>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[-2.10865]*</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lastRenderedPageBreak/>
              <w:t>R-squared</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0.572526</w:t>
            </w:r>
          </w:p>
        </w:tc>
        <w:tc>
          <w:tcPr>
            <w:tcW w:w="1731" w:type="dxa"/>
            <w:tcBorders>
              <w:top w:val="nil"/>
              <w:left w:val="nil"/>
              <w:bottom w:val="nil"/>
              <w:right w:val="single" w:sz="4" w:space="0" w:color="auto"/>
            </w:tcBorders>
            <w:shd w:val="clear" w:color="auto" w:fill="auto"/>
            <w:vAlign w:val="center"/>
            <w:hideMark/>
          </w:tcPr>
          <w:p w:rsidR="00907E27" w:rsidRPr="00860801" w:rsidRDefault="00907E27" w:rsidP="008D5E9B">
            <w:pPr>
              <w:spacing w:after="0" w:line="240" w:lineRule="auto"/>
              <w:jc w:val="center"/>
              <w:rPr>
                <w:rFonts w:ascii="Cambria" w:eastAsia="Times New Roman" w:hAnsi="Cambria" w:cs="Tahoma"/>
                <w:color w:val="000000"/>
                <w:sz w:val="20"/>
                <w:szCs w:val="20"/>
                <w:lang w:eastAsia="id-ID"/>
              </w:rPr>
            </w:pP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8D5E9B">
        <w:trPr>
          <w:trHeight w:val="177"/>
          <w:jc w:val="center"/>
        </w:trPr>
        <w:tc>
          <w:tcPr>
            <w:tcW w:w="1843"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Adj. R-squared</w:t>
            </w:r>
          </w:p>
        </w:tc>
        <w:tc>
          <w:tcPr>
            <w:tcW w:w="1275" w:type="dxa"/>
            <w:tcBorders>
              <w:top w:val="nil"/>
              <w:left w:val="nil"/>
              <w:bottom w:val="nil"/>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0.361979</w:t>
            </w:r>
          </w:p>
        </w:tc>
        <w:tc>
          <w:tcPr>
            <w:tcW w:w="1731" w:type="dxa"/>
            <w:tcBorders>
              <w:top w:val="nil"/>
              <w:left w:val="nil"/>
              <w:bottom w:val="nil"/>
              <w:right w:val="single" w:sz="4" w:space="0" w:color="auto"/>
            </w:tcBorders>
            <w:shd w:val="clear" w:color="auto" w:fill="auto"/>
            <w:vAlign w:val="center"/>
            <w:hideMark/>
          </w:tcPr>
          <w:p w:rsidR="00907E27" w:rsidRPr="00860801" w:rsidRDefault="00907E27" w:rsidP="008D5E9B">
            <w:pPr>
              <w:spacing w:after="0" w:line="240" w:lineRule="auto"/>
              <w:jc w:val="center"/>
              <w:rPr>
                <w:rFonts w:ascii="Cambria" w:eastAsia="Times New Roman" w:hAnsi="Cambria" w:cs="Tahoma"/>
                <w:color w:val="000000"/>
                <w:sz w:val="20"/>
                <w:szCs w:val="20"/>
                <w:lang w:eastAsia="id-ID"/>
              </w:rPr>
            </w:pP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3844C5">
        <w:trPr>
          <w:trHeight w:val="177"/>
          <w:jc w:val="center"/>
        </w:trPr>
        <w:tc>
          <w:tcPr>
            <w:tcW w:w="1843" w:type="dxa"/>
            <w:tcBorders>
              <w:top w:val="nil"/>
              <w:left w:val="nil"/>
              <w:bottom w:val="single" w:sz="8" w:space="0" w:color="auto"/>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F-statistics</w:t>
            </w:r>
          </w:p>
        </w:tc>
        <w:tc>
          <w:tcPr>
            <w:tcW w:w="1275" w:type="dxa"/>
            <w:tcBorders>
              <w:top w:val="nil"/>
              <w:left w:val="nil"/>
              <w:bottom w:val="single" w:sz="8" w:space="0" w:color="auto"/>
              <w:right w:val="nil"/>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2.719230</w:t>
            </w:r>
          </w:p>
        </w:tc>
        <w:tc>
          <w:tcPr>
            <w:tcW w:w="1731" w:type="dxa"/>
            <w:tcBorders>
              <w:top w:val="nil"/>
              <w:left w:val="nil"/>
              <w:bottom w:val="single" w:sz="8" w:space="0" w:color="auto"/>
              <w:right w:val="single" w:sz="4" w:space="0" w:color="auto"/>
            </w:tcBorders>
            <w:shd w:val="clear" w:color="auto" w:fill="auto"/>
            <w:vAlign w:val="center"/>
            <w:hideMark/>
          </w:tcPr>
          <w:p w:rsidR="00907E27" w:rsidRPr="00860801" w:rsidRDefault="00F35E8B" w:rsidP="008D5E9B">
            <w:pPr>
              <w:spacing w:after="0" w:line="240" w:lineRule="auto"/>
              <w:jc w:val="center"/>
              <w:rPr>
                <w:rFonts w:ascii="Cambria" w:eastAsia="Times New Roman" w:hAnsi="Cambria" w:cs="Tahoma"/>
                <w:color w:val="000000"/>
                <w:sz w:val="20"/>
                <w:szCs w:val="20"/>
                <w:lang w:eastAsia="id-ID"/>
              </w:rPr>
            </w:pPr>
            <w:r w:rsidRPr="00860801">
              <w:rPr>
                <w:rFonts w:ascii="Cambria" w:eastAsia="Times New Roman" w:hAnsi="Cambria" w:cs="Tahoma"/>
                <w:color w:val="000000"/>
                <w:sz w:val="20"/>
                <w:szCs w:val="20"/>
                <w:lang w:eastAsia="id-ID"/>
              </w:rPr>
              <w:t> </w:t>
            </w: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3844C5">
        <w:trPr>
          <w:trHeight w:val="177"/>
          <w:jc w:val="center"/>
        </w:trPr>
        <w:tc>
          <w:tcPr>
            <w:tcW w:w="1843" w:type="dxa"/>
            <w:tcBorders>
              <w:top w:val="nil"/>
              <w:left w:val="nil"/>
              <w:bottom w:val="nil"/>
              <w:right w:val="nil"/>
            </w:tcBorders>
            <w:shd w:val="clear" w:color="auto" w:fill="auto"/>
            <w:vAlign w:val="center"/>
          </w:tcPr>
          <w:p w:rsidR="00907E27" w:rsidRPr="00860801" w:rsidRDefault="00907E27" w:rsidP="008D5E9B">
            <w:pPr>
              <w:spacing w:after="0" w:line="240" w:lineRule="auto"/>
              <w:jc w:val="center"/>
              <w:rPr>
                <w:rFonts w:ascii="Cambria" w:eastAsia="Times New Roman" w:hAnsi="Cambria" w:cs="Tahoma"/>
                <w:color w:val="000000"/>
                <w:sz w:val="20"/>
                <w:szCs w:val="20"/>
                <w:lang w:eastAsia="id-ID"/>
              </w:rPr>
            </w:pPr>
          </w:p>
        </w:tc>
        <w:tc>
          <w:tcPr>
            <w:tcW w:w="1275" w:type="dxa"/>
            <w:tcBorders>
              <w:top w:val="nil"/>
              <w:left w:val="nil"/>
              <w:bottom w:val="nil"/>
              <w:right w:val="nil"/>
            </w:tcBorders>
            <w:shd w:val="clear" w:color="auto" w:fill="auto"/>
            <w:vAlign w:val="center"/>
          </w:tcPr>
          <w:p w:rsidR="00907E27" w:rsidRPr="00860801" w:rsidRDefault="00907E27" w:rsidP="008D5E9B">
            <w:pPr>
              <w:spacing w:after="0" w:line="240" w:lineRule="auto"/>
              <w:jc w:val="center"/>
              <w:rPr>
                <w:rFonts w:ascii="Cambria" w:eastAsia="Times New Roman" w:hAnsi="Cambria" w:cs="Tahoma"/>
                <w:color w:val="000000"/>
                <w:sz w:val="20"/>
                <w:szCs w:val="20"/>
                <w:lang w:eastAsia="id-ID"/>
              </w:rPr>
            </w:pPr>
          </w:p>
        </w:tc>
        <w:tc>
          <w:tcPr>
            <w:tcW w:w="1731" w:type="dxa"/>
            <w:tcBorders>
              <w:top w:val="nil"/>
              <w:left w:val="nil"/>
              <w:bottom w:val="nil"/>
              <w:right w:val="single" w:sz="4" w:space="0" w:color="auto"/>
            </w:tcBorders>
            <w:shd w:val="clear" w:color="auto" w:fill="auto"/>
            <w:vAlign w:val="center"/>
          </w:tcPr>
          <w:p w:rsidR="00907E27" w:rsidRPr="00E26343" w:rsidRDefault="00907E27" w:rsidP="00E26343">
            <w:pPr>
              <w:spacing w:after="0" w:line="240" w:lineRule="auto"/>
              <w:rPr>
                <w:rFonts w:ascii="Cambria" w:eastAsia="Times New Roman" w:hAnsi="Cambria" w:cs="Tahoma"/>
                <w:color w:val="000000"/>
                <w:sz w:val="20"/>
                <w:szCs w:val="20"/>
                <w:vertAlign w:val="superscript"/>
                <w:lang w:val="id-ID" w:eastAsia="id-ID"/>
              </w:rPr>
            </w:pP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3844C5">
        <w:trPr>
          <w:trHeight w:val="267"/>
          <w:jc w:val="center"/>
        </w:trPr>
        <w:tc>
          <w:tcPr>
            <w:tcW w:w="1843" w:type="dxa"/>
            <w:tcBorders>
              <w:top w:val="nil"/>
              <w:left w:val="nil"/>
              <w:bottom w:val="nil"/>
              <w:right w:val="nil"/>
            </w:tcBorders>
            <w:shd w:val="clear" w:color="auto" w:fill="auto"/>
            <w:vAlign w:val="center"/>
          </w:tcPr>
          <w:p w:rsidR="00907E27" w:rsidRPr="00860801" w:rsidRDefault="00907E27" w:rsidP="008D5E9B">
            <w:pPr>
              <w:spacing w:after="0" w:line="240" w:lineRule="auto"/>
              <w:jc w:val="center"/>
              <w:rPr>
                <w:rFonts w:ascii="Cambria" w:eastAsia="Times New Roman" w:hAnsi="Cambria" w:cs="Tahoma"/>
                <w:color w:val="000000"/>
                <w:sz w:val="20"/>
                <w:szCs w:val="20"/>
                <w:lang w:eastAsia="id-ID"/>
              </w:rPr>
            </w:pPr>
          </w:p>
        </w:tc>
        <w:tc>
          <w:tcPr>
            <w:tcW w:w="1275" w:type="dxa"/>
            <w:tcBorders>
              <w:top w:val="nil"/>
              <w:left w:val="nil"/>
              <w:bottom w:val="nil"/>
              <w:right w:val="nil"/>
            </w:tcBorders>
            <w:shd w:val="clear" w:color="auto" w:fill="auto"/>
            <w:vAlign w:val="center"/>
          </w:tcPr>
          <w:p w:rsidR="00907E27" w:rsidRPr="00860801" w:rsidRDefault="00907E27" w:rsidP="008D5E9B">
            <w:pPr>
              <w:spacing w:after="0" w:line="240" w:lineRule="auto"/>
              <w:jc w:val="center"/>
              <w:rPr>
                <w:rFonts w:ascii="Cambria" w:eastAsia="Times New Roman" w:hAnsi="Cambria" w:cs="Tahoma"/>
                <w:color w:val="000000"/>
                <w:sz w:val="20"/>
                <w:szCs w:val="20"/>
                <w:lang w:eastAsia="id-ID"/>
              </w:rPr>
            </w:pPr>
          </w:p>
        </w:tc>
        <w:tc>
          <w:tcPr>
            <w:tcW w:w="1731" w:type="dxa"/>
            <w:tcBorders>
              <w:top w:val="nil"/>
              <w:left w:val="nil"/>
              <w:bottom w:val="nil"/>
              <w:right w:val="single" w:sz="4" w:space="0" w:color="auto"/>
            </w:tcBorders>
            <w:shd w:val="clear" w:color="auto" w:fill="auto"/>
            <w:vAlign w:val="center"/>
          </w:tcPr>
          <w:p w:rsidR="00907E27" w:rsidRPr="00860801" w:rsidRDefault="00907E27" w:rsidP="008D5E9B">
            <w:pPr>
              <w:spacing w:after="0" w:line="240" w:lineRule="auto"/>
              <w:jc w:val="center"/>
              <w:rPr>
                <w:rFonts w:ascii="Cambria" w:eastAsia="Times New Roman" w:hAnsi="Cambria" w:cs="Tahoma"/>
                <w:color w:val="000000"/>
                <w:sz w:val="20"/>
                <w:szCs w:val="20"/>
                <w:lang w:eastAsia="id-ID"/>
              </w:rPr>
            </w:pP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r w:rsidR="006C0232" w:rsidRPr="00002900" w:rsidTr="003844C5">
        <w:trPr>
          <w:trHeight w:val="183"/>
          <w:jc w:val="center"/>
        </w:trPr>
        <w:tc>
          <w:tcPr>
            <w:tcW w:w="1843" w:type="dxa"/>
            <w:tcBorders>
              <w:top w:val="nil"/>
              <w:left w:val="nil"/>
              <w:bottom w:val="single" w:sz="8" w:space="0" w:color="auto"/>
              <w:right w:val="nil"/>
            </w:tcBorders>
            <w:shd w:val="clear" w:color="auto" w:fill="auto"/>
            <w:vAlign w:val="center"/>
          </w:tcPr>
          <w:p w:rsidR="00907E27" w:rsidRPr="00860801" w:rsidRDefault="00907E27" w:rsidP="008D5E9B">
            <w:pPr>
              <w:spacing w:after="0" w:line="240" w:lineRule="auto"/>
              <w:jc w:val="center"/>
              <w:rPr>
                <w:rFonts w:ascii="Cambria" w:eastAsia="Times New Roman" w:hAnsi="Cambria" w:cs="Tahoma"/>
                <w:color w:val="000000"/>
                <w:sz w:val="20"/>
                <w:szCs w:val="20"/>
                <w:lang w:eastAsia="id-ID"/>
              </w:rPr>
            </w:pPr>
          </w:p>
        </w:tc>
        <w:tc>
          <w:tcPr>
            <w:tcW w:w="1275" w:type="dxa"/>
            <w:tcBorders>
              <w:top w:val="nil"/>
              <w:left w:val="nil"/>
              <w:bottom w:val="single" w:sz="8" w:space="0" w:color="auto"/>
              <w:right w:val="nil"/>
            </w:tcBorders>
            <w:shd w:val="clear" w:color="auto" w:fill="auto"/>
            <w:vAlign w:val="center"/>
          </w:tcPr>
          <w:p w:rsidR="00907E27" w:rsidRPr="00860801" w:rsidRDefault="00907E27" w:rsidP="008D5E9B">
            <w:pPr>
              <w:spacing w:after="0" w:line="240" w:lineRule="auto"/>
              <w:jc w:val="center"/>
              <w:rPr>
                <w:rFonts w:ascii="Cambria" w:eastAsia="Times New Roman" w:hAnsi="Cambria" w:cs="Tahoma"/>
                <w:color w:val="000000"/>
                <w:sz w:val="20"/>
                <w:szCs w:val="20"/>
                <w:lang w:eastAsia="id-ID"/>
              </w:rPr>
            </w:pPr>
          </w:p>
        </w:tc>
        <w:tc>
          <w:tcPr>
            <w:tcW w:w="1731" w:type="dxa"/>
            <w:tcBorders>
              <w:top w:val="nil"/>
              <w:left w:val="nil"/>
              <w:bottom w:val="single" w:sz="8" w:space="0" w:color="auto"/>
              <w:right w:val="single" w:sz="4" w:space="0" w:color="auto"/>
            </w:tcBorders>
            <w:shd w:val="clear" w:color="auto" w:fill="auto"/>
            <w:vAlign w:val="center"/>
          </w:tcPr>
          <w:p w:rsidR="00907E27" w:rsidRPr="00860801" w:rsidRDefault="00907E27" w:rsidP="008D5E9B">
            <w:pPr>
              <w:spacing w:after="0" w:line="240" w:lineRule="auto"/>
              <w:jc w:val="center"/>
              <w:rPr>
                <w:rFonts w:ascii="Cambria" w:eastAsia="Times New Roman" w:hAnsi="Cambria" w:cs="Tahoma"/>
                <w:color w:val="000000"/>
                <w:sz w:val="20"/>
                <w:szCs w:val="20"/>
                <w:lang w:eastAsia="id-ID"/>
              </w:rPr>
            </w:pPr>
          </w:p>
        </w:tc>
        <w:tc>
          <w:tcPr>
            <w:tcW w:w="1747" w:type="dxa"/>
            <w:tcBorders>
              <w:top w:val="nil"/>
              <w:left w:val="single" w:sz="4" w:space="0" w:color="auto"/>
              <w:bottom w:val="nil"/>
              <w:right w:val="nil"/>
            </w:tcBorders>
            <w:shd w:val="clear" w:color="auto" w:fill="auto"/>
            <w:noWrap/>
            <w:vAlign w:val="bottom"/>
            <w:hideMark/>
          </w:tcPr>
          <w:p w:rsidR="00907E27" w:rsidRPr="00002900" w:rsidRDefault="00907E27" w:rsidP="008D5E9B">
            <w:pPr>
              <w:spacing w:after="0" w:line="240" w:lineRule="auto"/>
              <w:jc w:val="center"/>
              <w:rPr>
                <w:rFonts w:ascii="Cambria" w:eastAsia="Times New Roman" w:hAnsi="Cambria" w:cs="Tahoma"/>
                <w:color w:val="000000"/>
                <w:sz w:val="24"/>
                <w:szCs w:val="24"/>
                <w:lang w:eastAsia="id-ID"/>
              </w:rPr>
            </w:pPr>
          </w:p>
        </w:tc>
        <w:tc>
          <w:tcPr>
            <w:tcW w:w="1275"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c>
          <w:tcPr>
            <w:tcW w:w="1343" w:type="dxa"/>
            <w:tcBorders>
              <w:top w:val="nil"/>
              <w:left w:val="nil"/>
              <w:bottom w:val="nil"/>
              <w:right w:val="nil"/>
            </w:tcBorders>
            <w:shd w:val="clear" w:color="auto" w:fill="auto"/>
            <w:noWrap/>
            <w:vAlign w:val="bottom"/>
            <w:hideMark/>
          </w:tcPr>
          <w:p w:rsidR="00907E27" w:rsidRPr="00002900" w:rsidRDefault="00907E27" w:rsidP="008D5E9B">
            <w:pPr>
              <w:spacing w:after="0" w:line="240" w:lineRule="auto"/>
              <w:rPr>
                <w:rFonts w:ascii="Cambria" w:eastAsia="Times New Roman" w:hAnsi="Cambria" w:cs="Tahoma"/>
                <w:sz w:val="24"/>
                <w:szCs w:val="24"/>
                <w:lang w:eastAsia="id-ID"/>
              </w:rPr>
            </w:pPr>
          </w:p>
        </w:tc>
      </w:tr>
    </w:tbl>
    <w:p w:rsidR="00E26343" w:rsidRPr="00E26343" w:rsidRDefault="00E26343" w:rsidP="00E26343">
      <w:pPr>
        <w:spacing w:after="0" w:line="360" w:lineRule="auto"/>
        <w:ind w:firstLine="709"/>
        <w:jc w:val="both"/>
        <w:rPr>
          <w:rFonts w:ascii="Cambria" w:hAnsi="Cambria" w:cs="Tahoma"/>
          <w:sz w:val="20"/>
          <w:szCs w:val="20"/>
          <w:lang w:val="id-ID"/>
        </w:rPr>
      </w:pPr>
      <w:r w:rsidRPr="00E26343">
        <w:rPr>
          <w:rFonts w:ascii="Cambria" w:hAnsi="Cambria" w:cs="Tahoma"/>
          <w:sz w:val="20"/>
          <w:szCs w:val="20"/>
          <w:lang w:val="id-ID"/>
        </w:rPr>
        <w:t>*significan (&lt;5%)</w:t>
      </w:r>
    </w:p>
    <w:p w:rsidR="00E26343" w:rsidRPr="00E26343" w:rsidRDefault="00E26343" w:rsidP="00E26343">
      <w:pPr>
        <w:spacing w:after="0" w:line="360" w:lineRule="auto"/>
        <w:ind w:firstLine="709"/>
        <w:jc w:val="both"/>
        <w:rPr>
          <w:rFonts w:ascii="Cambria" w:hAnsi="Cambria" w:cs="Tahoma"/>
          <w:sz w:val="20"/>
          <w:szCs w:val="20"/>
        </w:rPr>
      </w:pPr>
      <w:r w:rsidRPr="00E26343">
        <w:rPr>
          <w:rFonts w:ascii="Cambria" w:hAnsi="Cambria" w:cs="Tahoma"/>
          <w:sz w:val="20"/>
          <w:szCs w:val="20"/>
        </w:rPr>
        <w:t>Source: Data processed 2022</w:t>
      </w:r>
    </w:p>
    <w:p w:rsidR="008D5E9B" w:rsidRPr="00002900" w:rsidRDefault="008D5E9B" w:rsidP="007E69FA">
      <w:pPr>
        <w:pStyle w:val="ListParagraph"/>
        <w:spacing w:after="0" w:line="360" w:lineRule="auto"/>
        <w:ind w:left="426"/>
        <w:jc w:val="center"/>
        <w:rPr>
          <w:rFonts w:ascii="Cambria" w:hAnsi="Cambria" w:cs="Tahoma"/>
          <w:b/>
          <w:sz w:val="24"/>
          <w:szCs w:val="24"/>
        </w:rPr>
      </w:pPr>
    </w:p>
    <w:p w:rsidR="008D5E9B" w:rsidRPr="00F97264" w:rsidRDefault="00F35E8B" w:rsidP="008D5E9B">
      <w:pPr>
        <w:spacing w:after="0" w:line="360" w:lineRule="auto"/>
        <w:ind w:firstLine="709"/>
        <w:jc w:val="both"/>
        <w:rPr>
          <w:rFonts w:ascii="Cambria" w:hAnsi="Cambria" w:cs="Tahoma"/>
        </w:rPr>
      </w:pPr>
      <w:r w:rsidRPr="00F97264">
        <w:rPr>
          <w:rFonts w:ascii="Cambria" w:hAnsi="Cambria" w:cs="Tahoma"/>
        </w:rPr>
        <w:t>The VECM estimation results show that the coefficient of determination is 0.572526</w:t>
      </w:r>
      <w:r w:rsidRPr="00F97264">
        <w:rPr>
          <w:rFonts w:ascii="Cambria" w:eastAsia="Times New Roman" w:hAnsi="Cambria" w:cs="Tahoma"/>
          <w:color w:val="000000"/>
          <w:lang w:eastAsia="id-ID"/>
        </w:rPr>
        <w:t xml:space="preserve">, </w:t>
      </w:r>
      <w:r w:rsidRPr="00F97264">
        <w:rPr>
          <w:rFonts w:ascii="Cambria" w:hAnsi="Cambria" w:cs="Tahoma"/>
        </w:rPr>
        <w:t>meaning that 57.2526% of the variation in Islamic banking financing models can be explained by all the independent variables involved in this study, namely (Total assets, DPK, NOM, FDR, NPF, ROA, ERPMUDH, ERPMUSY, BI Rate, Inflation) while the remaining 42.7474% is explained by other variables not involved in this study.</w:t>
      </w:r>
    </w:p>
    <w:p w:rsidR="00776D75" w:rsidRPr="00F97264" w:rsidRDefault="00F35E8B" w:rsidP="00776D75">
      <w:pPr>
        <w:pStyle w:val="ListParagraph"/>
        <w:spacing w:after="0" w:line="360" w:lineRule="auto"/>
        <w:ind w:left="0" w:firstLine="709"/>
        <w:jc w:val="both"/>
        <w:rPr>
          <w:rFonts w:ascii="Cambria" w:hAnsi="Cambria" w:cs="Tahoma"/>
        </w:rPr>
      </w:pPr>
      <w:r w:rsidRPr="00F97264">
        <w:rPr>
          <w:rFonts w:ascii="Cambria" w:hAnsi="Cambria" w:cs="Tahoma"/>
        </w:rPr>
        <w:t xml:space="preserve">VECM test results show that there is a long-term relationship to Total Assets, Third Party Funds, Net Operating Margin, Financing to deposit ratio (FDR), Non-Performing Finance (NPF), Return on Assets (ROA), Equivalent rate of </w:t>
      </w:r>
      <w:proofErr w:type="spellStart"/>
      <w:r w:rsidRPr="00F97264">
        <w:rPr>
          <w:rFonts w:ascii="Cambria" w:hAnsi="Cambria" w:cs="Tahoma"/>
        </w:rPr>
        <w:t>Mudharabah</w:t>
      </w:r>
      <w:proofErr w:type="spellEnd"/>
      <w:r w:rsidRPr="00F97264">
        <w:rPr>
          <w:rFonts w:ascii="Cambria" w:hAnsi="Cambria" w:cs="Tahoma"/>
        </w:rPr>
        <w:t xml:space="preserve">, equivalent rate of </w:t>
      </w:r>
      <w:proofErr w:type="spellStart"/>
      <w:r w:rsidRPr="00F97264">
        <w:rPr>
          <w:rFonts w:ascii="Cambria" w:hAnsi="Cambria" w:cs="Tahoma"/>
        </w:rPr>
        <w:t>musharaka</w:t>
      </w:r>
      <w:proofErr w:type="spellEnd"/>
      <w:r w:rsidRPr="00F97264">
        <w:rPr>
          <w:rFonts w:ascii="Cambria" w:hAnsi="Cambria" w:cs="Tahoma"/>
        </w:rPr>
        <w:t xml:space="preserve">, BI Rate and Inflation on Financing in Islamic Banking. In the long-term relationship, we found results that DPK, NOM, NPF, ROA, ERP </w:t>
      </w:r>
      <w:proofErr w:type="spellStart"/>
      <w:r w:rsidRPr="00F97264">
        <w:rPr>
          <w:rFonts w:ascii="Cambria" w:hAnsi="Cambria" w:cs="Tahoma"/>
        </w:rPr>
        <w:t>Musyarakah</w:t>
      </w:r>
      <w:proofErr w:type="spellEnd"/>
      <w:r w:rsidRPr="00F97264">
        <w:rPr>
          <w:rFonts w:ascii="Cambria" w:hAnsi="Cambria" w:cs="Tahoma"/>
        </w:rPr>
        <w:t xml:space="preserve">, BI rate, and Inflation have a significant effect, with different directions of significance. NPF and Inflation have a negative significance on Islamic banking financing. Meanwhile, DPK, NOM, ROA, ERP </w:t>
      </w:r>
      <w:proofErr w:type="spellStart"/>
      <w:r w:rsidRPr="00F97264">
        <w:rPr>
          <w:rFonts w:ascii="Cambria" w:hAnsi="Cambria" w:cs="Tahoma"/>
        </w:rPr>
        <w:t>Musyarakah</w:t>
      </w:r>
      <w:proofErr w:type="spellEnd"/>
      <w:r w:rsidRPr="00F97264">
        <w:rPr>
          <w:rFonts w:ascii="Cambria" w:hAnsi="Cambria" w:cs="Tahoma"/>
        </w:rPr>
        <w:t xml:space="preserve">, and BI rates have a positive direction of significance toward Islamic banking financing. Total Assets, FDR and </w:t>
      </w:r>
      <w:proofErr w:type="spellStart"/>
      <w:r w:rsidRPr="00F97264">
        <w:rPr>
          <w:rFonts w:ascii="Cambria" w:hAnsi="Cambria" w:cs="Tahoma"/>
        </w:rPr>
        <w:t>ErpMudharabah</w:t>
      </w:r>
      <w:proofErr w:type="spellEnd"/>
      <w:r w:rsidRPr="00F97264">
        <w:rPr>
          <w:rFonts w:ascii="Cambria" w:hAnsi="Cambria" w:cs="Tahoma"/>
        </w:rPr>
        <w:t xml:space="preserve"> variables do not have a significant effect on long-term relationships.</w:t>
      </w:r>
    </w:p>
    <w:p w:rsidR="00907E27" w:rsidRPr="00F97264" w:rsidRDefault="00F35E8B" w:rsidP="00776D75">
      <w:pPr>
        <w:pStyle w:val="ListParagraph"/>
        <w:spacing w:after="0" w:line="360" w:lineRule="auto"/>
        <w:ind w:left="0" w:firstLine="709"/>
        <w:jc w:val="both"/>
        <w:rPr>
          <w:rFonts w:ascii="Cambria" w:hAnsi="Cambria" w:cs="Tahoma"/>
        </w:rPr>
      </w:pPr>
      <w:r w:rsidRPr="00F97264">
        <w:rPr>
          <w:rFonts w:ascii="Cambria" w:hAnsi="Cambria" w:cs="Tahoma"/>
        </w:rPr>
        <w:t xml:space="preserve">Likewise with the results of the short-term VECM test in this study, using lag 3, several variables have a significant effect on short-term relationships, including the variables DPK, NOM, ROA, Equivalent rate of </w:t>
      </w:r>
      <w:proofErr w:type="spellStart"/>
      <w:r w:rsidRPr="00F97264">
        <w:rPr>
          <w:rFonts w:ascii="Cambria" w:hAnsi="Cambria" w:cs="Tahoma"/>
        </w:rPr>
        <w:t>mudharabah</w:t>
      </w:r>
      <w:proofErr w:type="spellEnd"/>
      <w:r w:rsidRPr="00F97264">
        <w:rPr>
          <w:rFonts w:ascii="Cambria" w:hAnsi="Cambria" w:cs="Tahoma"/>
        </w:rPr>
        <w:t>, and Inflation. Other variables do not have a significant effect on lag 1</w:t>
      </w:r>
      <w:proofErr w:type="gramStart"/>
      <w:r w:rsidRPr="00F97264">
        <w:rPr>
          <w:rFonts w:ascii="Cambria" w:hAnsi="Cambria" w:cs="Tahoma"/>
        </w:rPr>
        <w:t>,2,3</w:t>
      </w:r>
      <w:proofErr w:type="gramEnd"/>
      <w:r w:rsidRPr="00F97264">
        <w:rPr>
          <w:rFonts w:ascii="Cambria" w:hAnsi="Cambria" w:cs="Tahoma"/>
        </w:rPr>
        <w:t>.</w:t>
      </w:r>
    </w:p>
    <w:p w:rsidR="00776D75" w:rsidRPr="00F97264" w:rsidRDefault="00F35E8B" w:rsidP="00776D75">
      <w:pPr>
        <w:pStyle w:val="ListParagraph"/>
        <w:spacing w:after="0" w:line="360" w:lineRule="auto"/>
        <w:ind w:left="0" w:firstLine="709"/>
        <w:jc w:val="both"/>
        <w:rPr>
          <w:rFonts w:ascii="Cambria" w:hAnsi="Cambria" w:cs="Tahoma"/>
        </w:rPr>
      </w:pPr>
      <w:r w:rsidRPr="00F97264">
        <w:rPr>
          <w:rFonts w:ascii="Cambria" w:hAnsi="Cambria" w:cs="Tahoma"/>
        </w:rPr>
        <w:tab/>
        <w:t xml:space="preserve">The results of the long-term VECM estimation of the total variable assets have no significant effect on Financing in Islamic banking with a t-statistical value of Total Assets of </w:t>
      </w:r>
      <w:r w:rsidRPr="00F97264">
        <w:rPr>
          <w:rFonts w:ascii="Cambria" w:eastAsia="Times New Roman" w:hAnsi="Cambria" w:cs="Tahoma"/>
          <w:color w:val="000000"/>
          <w:lang w:eastAsia="id-ID"/>
        </w:rPr>
        <w:t xml:space="preserve">-0.60712 &lt; t-table </w:t>
      </w:r>
      <w:r w:rsidR="0014424E" w:rsidRPr="00F97264">
        <w:rPr>
          <w:rFonts w:ascii="Cambria" w:hAnsi="Cambria" w:cs="Tahoma"/>
        </w:rPr>
        <w:t xml:space="preserve">1.65765. This indicates that the portion of funds that must be channeled to financing customers does not depend on the high or low assets owned by Islamic banking. If seen from the total assets data owned by Islamic Commercial Banks, Islamic Business Units, and Islamic People's Financing Banks, it has increased every month, but the increase is not significant, and it is possible that the increase in assets from Islamic banking is non-productive assets, so it does not have a significant impact on Financing channeled by Islamic </w:t>
      </w:r>
      <w:r w:rsidR="0014424E" w:rsidRPr="00F97264">
        <w:rPr>
          <w:rFonts w:ascii="Cambria" w:hAnsi="Cambria" w:cs="Tahoma"/>
        </w:rPr>
        <w:lastRenderedPageBreak/>
        <w:t xml:space="preserve">banking. The greater the assets owned by Islamic banking, it has no effect on the volume of Financing distributed by Islamic banking; this is in line with research conducted by </w:t>
      </w:r>
      <w:r w:rsidR="0014424E" w:rsidRPr="00F97264">
        <w:rPr>
          <w:rFonts w:ascii="Cambria" w:hAnsi="Cambria" w:cs="Tahoma"/>
        </w:rPr>
        <w:fldChar w:fldCharType="begin" w:fldLock="1"/>
      </w:r>
      <w:r w:rsidR="00654B98" w:rsidRPr="00F97264">
        <w:rPr>
          <w:rFonts w:ascii="Cambria" w:hAnsi="Cambria" w:cs="Tahoma"/>
        </w:rPr>
        <w:instrText>ADDIN CSL_CITATION {"citationItems":[{"id":"ITEM-1","itemData":{"DOI":"10.53952/jir.v9i2.337","ISSN":"2442-3416","abstract":"This study aims to analyze the effect of Financing to Deposit Ratio (FDR), Non Performing Financing (NPF), Third Party Funds (TPF), Asset Growth on Financing Provided (PYD). The update in this study is the Asset Growth variable which is thought to have a close relationship with PYD. This study is a quantitative research with SPSS statistical test.The sample of this study are the Islamic banks in Indonesia, which were taken based on the number of provinces in Indonesia which is 33 (thirty three) provinces throughout 2018-2020. The source of data used in this study is from the secondary data taken from the website www.ojk.go.id. The data analysis used in this study is from conducting the classical assumptions test then followed by multiple regression which are the determination test and T test. While the results of the t test showed that TPF had a positive and significant effect on PYD, while FDR had no effect on PYD. The same as Asset Growth no effect on PYD. Also NPF had a negative and significant effect on PYD. The coefficient of determination test results show the Adjusted R Square value of 0.173, this indicates that only 17.3% of the PYD financing variables are influenced by NPF, PYD, and FDR while the remaining 82.7% is influenced by other factors Keywords: NPF; TPF; FDR; PYD; Asset Growth; ABSTRAK Tujuan penelitian untuk menguji pengaruh Financing to Deposit Ratio (FDR), Dana Pihak Ketiga (DPK), Non Performing Financing (NPF), Pertumbuhan Aset terhadap Pembiayaan Yang Diberikan (PYD). Perbaharuan dalam penelitian ini yaitu variabel Pertumbuhan Aset yang diduga memiliki kaitan yang erat terhadap PYD. Jenis penelitian kuantitatif dengan uji statistik SPSS. Sampel penelitian yaitu bank syariah yang ada di Indonesia diambil berdasarkan jumlah provinsi sebanyak 33 (tiga puluh tiga) provinsi periode 2018 - 2020. Data yang digunakan bersumber dari data sekunder yang diperoleh dari situs www.ojk.go.id. Analisis data yang digunakan yaitu dengan melakukan uji asumsi klasik kemudian dilanjutkan dengan regresi berganda yaitu uji determinasi dan Uji t. Sedangkan hasil uji t menunjukkan DPK berpengaruh positif dan signifikan terhadap PYD, FDR tidak berpengaruh terhadap PYD, Pertumbuhan asset tidak berpengaruh terhadap PYD dan NPF berpengaruh negatif dan signifikan terhadap PYD. Hasil uji koefisien determinasi menunjukkan nilai Adjusted R Square 0,173, hal ini menunjukkan bahwa hanya 17,3% variabel pembiayaan PYD dipengaruhi oleh NPF, DPK, dan FDR sedangkan sisan…","author":[{"dropping-particle":"","family":"Khotmi","given":"Herawati","non-dropping-particle":"","parse-names":false,"suffix":""},{"dropping-particle":"","family":"Wahyullah","given":"Muhammad","non-dropping-particle":"","parse-names":false,"suffix":""},{"dropping-particle":"","family":"Fachrozi","given":"","non-dropping-particle":"","parse-names":false,"suffix":""}],"container-title":"Journal Ilmiah Rinjani : Media Informasi Ilmiah Universitas Gunung Rinjani","id":"ITEM-1","issue":"2","issued":{"date-parts":[["2021"]]},"page":"1-10","title":"Determinants of Funding Provided (Study on Islamic Commercial Banks in Indonesia for the 2018-2020 Period)","type":"article-journal","volume":"9"},"uris":["http://www.mendeley.com/documents/?uuid=d13cdb70-da3a-4a8a-8bc8-a1eb12e87528"]}],"mendeley":{"formattedCitation":"(Khotmi et al., 2021)","manualFormatting":"Khotmi et al., (2021)","plainTextFormattedCitation":"(Khotmi et al., 2021)","previouslyFormattedCitation":"(Khotmi et al., 2021)"},"properties":{"noteIndex":0},"schema":"https://github.com/citation-style-language/schema/raw/master/csl-citation.json"}</w:instrText>
      </w:r>
      <w:r w:rsidR="0014424E" w:rsidRPr="00F97264">
        <w:rPr>
          <w:rFonts w:ascii="Cambria" w:hAnsi="Cambria" w:cs="Tahoma"/>
        </w:rPr>
        <w:fldChar w:fldCharType="separate"/>
      </w:r>
      <w:r w:rsidR="0014424E" w:rsidRPr="00F97264">
        <w:rPr>
          <w:rFonts w:ascii="Cambria" w:hAnsi="Cambria" w:cs="Tahoma"/>
          <w:noProof/>
        </w:rPr>
        <w:t>Khotmi et al. (2021)</w:t>
      </w:r>
      <w:r w:rsidR="0014424E" w:rsidRPr="00F97264">
        <w:rPr>
          <w:rFonts w:ascii="Cambria" w:hAnsi="Cambria" w:cs="Tahoma"/>
        </w:rPr>
        <w:fldChar w:fldCharType="end"/>
      </w:r>
      <w:r w:rsidR="00385805" w:rsidRPr="00F97264">
        <w:rPr>
          <w:rFonts w:ascii="Cambria" w:hAnsi="Cambria" w:cs="Tahoma"/>
        </w:rPr>
        <w:t xml:space="preserve">. These results differ from research conducted by </w:t>
      </w:r>
      <w:r w:rsidR="007C1D71" w:rsidRPr="00F97264">
        <w:rPr>
          <w:rFonts w:ascii="Cambria" w:hAnsi="Cambria" w:cs="Tahoma"/>
        </w:rPr>
        <w:fldChar w:fldCharType="begin" w:fldLock="1"/>
      </w:r>
      <w:r w:rsidR="00654B98" w:rsidRPr="00F97264">
        <w:rPr>
          <w:rFonts w:ascii="Cambria" w:hAnsi="Cambria" w:cs="Tahoma"/>
        </w:rPr>
        <w:instrText>ADDIN CSL_CITATION {"citationItems":[{"id":"ITEM-1","itemData":{"ISBN":"9781317920908","abstract":"This book explores the relationship between problem analysis, leadership, decision making, and change. It contains many problem scenarios, case studies, and vignettes.","author":[{"dropping-particle":"","family":"Kurniawanti","given":"Agustina","non-dropping-particle":"","parse-names":false,"suffix":""}],"container-title":"Seminar Nasional Program Studi Akuntansi FEB-UMS","id":"ITEM-1","issue":"1","issued":{"date-parts":[["2014"]]},"page":"1-24","title":"Analysis of the Factors Influencing the Volume of Profit-Sharing-Based Financing in Islamic Commercial Banks in Indonesia.","type":"article-journal","volume":"39"},"uris":["http://www.mendeley.com/documents/?uuid=03521073-8b37-4b27-9171-9341932941ee"]}],"mendeley":{"formattedCitation":"(Kurniawanti, 2014)","manualFormatting":"Kurniawanti (2014)","plainTextFormattedCitation":"(Kurniawanti, 2014)","previouslyFormattedCitation":"(Kurniawanti, 2014)"},"properties":{"noteIndex":0},"schema":"https://github.com/citation-style-language/schema/raw/master/csl-citation.json"}</w:instrText>
      </w:r>
      <w:r w:rsidR="007C1D71" w:rsidRPr="00F97264">
        <w:rPr>
          <w:rFonts w:ascii="Cambria" w:hAnsi="Cambria" w:cs="Tahoma"/>
        </w:rPr>
        <w:fldChar w:fldCharType="separate"/>
      </w:r>
      <w:r w:rsidR="007C1D71" w:rsidRPr="00F97264">
        <w:rPr>
          <w:rFonts w:ascii="Cambria" w:hAnsi="Cambria" w:cs="Tahoma"/>
          <w:noProof/>
        </w:rPr>
        <w:t>Kurniawanti (2014)</w:t>
      </w:r>
      <w:r w:rsidR="007C1D71" w:rsidRPr="00F97264">
        <w:rPr>
          <w:rFonts w:ascii="Cambria" w:hAnsi="Cambria" w:cs="Tahoma"/>
        </w:rPr>
        <w:fldChar w:fldCharType="end"/>
      </w:r>
      <w:r w:rsidR="007C1D71" w:rsidRPr="00F97264">
        <w:rPr>
          <w:rFonts w:ascii="Cambria" w:hAnsi="Cambria" w:cs="Tahoma"/>
        </w:rPr>
        <w:t>, where the total assets owned by the company have a significant influence on the volume of profit-sharing-based Financing at Islamic Commercial Banks in Indonesia.</w:t>
      </w:r>
    </w:p>
    <w:p w:rsidR="0014424E" w:rsidRPr="00F97264" w:rsidRDefault="00F35E8B" w:rsidP="00776D75">
      <w:pPr>
        <w:pStyle w:val="ListParagraph"/>
        <w:spacing w:after="0" w:line="360" w:lineRule="auto"/>
        <w:ind w:left="0" w:firstLine="709"/>
        <w:jc w:val="both"/>
        <w:rPr>
          <w:rFonts w:ascii="Cambria" w:hAnsi="Cambria" w:cs="Tahoma"/>
        </w:rPr>
      </w:pPr>
      <w:r w:rsidRPr="00F97264">
        <w:rPr>
          <w:rFonts w:ascii="Cambria" w:hAnsi="Cambria" w:cs="Tahoma"/>
        </w:rPr>
        <w:t xml:space="preserve">Likewise, with the short-term VECM estimation results, indicating that the total asset variable has no effect on Islamic banking financing in either lag 1, lag 2, or lag 3, there is no significant effect. This is possible because changes that occur in assets owned are not a consideration of the number of funds channeled by Islamic banking, but funds channeled to customers need to </w:t>
      </w:r>
      <w:r w:rsidR="00B440F6" w:rsidRPr="00F97264">
        <w:rPr>
          <w:rFonts w:ascii="Cambria" w:hAnsi="Cambria" w:cs="Tahoma"/>
        </w:rPr>
        <w:t xml:space="preserve">consider </w:t>
      </w:r>
      <w:r w:rsidR="004A0453" w:rsidRPr="00F97264">
        <w:rPr>
          <w:rFonts w:ascii="Cambria" w:hAnsi="Cambria" w:cs="Tahoma"/>
        </w:rPr>
        <w:t>many other factors so that the risk of default can be managed properly by the banking system. Thus, in a short-term relationship, banking assets do not affect Financing.</w:t>
      </w:r>
    </w:p>
    <w:p w:rsidR="00776D75" w:rsidRPr="00F97264" w:rsidRDefault="00F35E8B" w:rsidP="00776D75">
      <w:pPr>
        <w:pStyle w:val="ListParagraph"/>
        <w:spacing w:after="0" w:line="360" w:lineRule="auto"/>
        <w:ind w:left="0" w:firstLine="709"/>
        <w:jc w:val="both"/>
        <w:rPr>
          <w:rFonts w:ascii="Cambria" w:hAnsi="Cambria" w:cs="Tahoma"/>
        </w:rPr>
      </w:pPr>
      <w:r w:rsidRPr="00F97264">
        <w:rPr>
          <w:rFonts w:ascii="Cambria" w:hAnsi="Cambria" w:cs="Tahoma"/>
        </w:rPr>
        <w:t xml:space="preserve">Furthermore, the variable Third Party Funds has a significant positive effect on Financing in Islamic banking with a statistical value of 10.2327 &gt; t-table 1.65765. this is in line with research conducted by </w:t>
      </w:r>
      <w:r w:rsidRPr="00F97264">
        <w:rPr>
          <w:rFonts w:ascii="Cambria" w:hAnsi="Cambria" w:cs="Tahoma"/>
        </w:rPr>
        <w:fldChar w:fldCharType="begin" w:fldLock="1"/>
      </w:r>
      <w:r w:rsidRPr="00F97264">
        <w:rPr>
          <w:rFonts w:ascii="Cambria" w:hAnsi="Cambria" w:cs="Tahoma"/>
        </w:rPr>
        <w:instrText>ADDIN CSL_CITATION {"citationItems":[{"id":"ITEM-1","itemData":{"DOI":"10.29040/ijebar.v4i02.988","ISSN":"2622-4771","abstract":"Banks are financial institutions that collect and distribute funds in the forms of deposits such as savings, deposits, current accounts, etc. from and for people who need funds for various needs, such as for consumption, working capital or business capital, housing and investment. In addition, banks must help the community to improve their living standards by distributing funds or giving credit to people who need funds. This is in accordance with the function of the bank itself, namely the bank as the distributor of funds. The purpose of this research is to examine and obtain evidence about factors that influence loan distribution at a bank. Internal factors that influence loan distribution are Third Party Funds, Non-Performing Loans, and Profitability. Efforts to increase credit at banks require optimal efforts to raise third-party funds, good credit management, and capital strengthening. This type of research is quantitative research with purposive sampling technique. The population used in this study is commercial banks from 2013 to 2017. The data come from commercial bank financial statements. As the benefit of this research the government can use it as a mapping material for distributing loan to commercial banks; the bank management can take it into consideration in making commercial bank lending policies. The results of the research show that profitability can mediate the relationship between third party funds and non-performing loans on loan distribution. Third party funds have a significant positive effect on loan distribution. Non-Performing Loans have a significant negative effect on loan distribution. Keywords: LOAN DISTRIBUTION, THIRD PARTY FUNDS, NON-PERFORMING LOANS, AND PROFITABILITY","author":[{"dropping-particle":"","family":"Hermuningsih","given":"Sri","non-dropping-particle":"","parse-names":false,"suffix":""},{"dropping-particle":"","family":"Sari","given":"Pristin Prima","non-dropping-particle":"","parse-names":false,"suffix":""},{"dropping-particle":"","family":"Rahmawati","given":"Anisya Dewi","non-dropping-particle":"","parse-names":false,"suffix":""}],"container-title":"International Journal of Economics, Business and Accounting Research (IJEBAR)","id":"ITEM-1","issue":"02","issued":{"date-parts":[["2020"]]},"page":"40-50","title":"The Influence of Third-Party Funds, Non-Performing Loans (NPL) on Credit Distribution With Profitability As Intervening Variable in Commercial Banks","type":"article-journal","volume":"4"},"uris":["http://www.mendeley.com/documents/?uuid=b186a711-99e5-4b92-850c-3c53830007b7"]}],"mendeley":{"formattedCitation":"(Hermuningsih et al., 2020)","manualFormatting":"Hermuningsih et al., (2020)","plainTextFormattedCitation":"(Hermuningsih et al., 2020)","previouslyFormattedCitation":"(Hermuningsih et al., 2020)"},"properties":{"noteIndex":0},"schema":"https://github.com/citation-style-language/schema/raw/master/csl-citation.json"}</w:instrText>
      </w:r>
      <w:r w:rsidRPr="00F97264">
        <w:rPr>
          <w:rFonts w:ascii="Cambria" w:hAnsi="Cambria" w:cs="Tahoma"/>
        </w:rPr>
        <w:fldChar w:fldCharType="separate"/>
      </w:r>
      <w:r w:rsidRPr="00F97264">
        <w:rPr>
          <w:rFonts w:ascii="Cambria" w:hAnsi="Cambria" w:cs="Tahoma"/>
          <w:noProof/>
        </w:rPr>
        <w:t>Hermuningsih et al. (2020)</w:t>
      </w:r>
      <w:r w:rsidRPr="00F97264">
        <w:rPr>
          <w:rFonts w:ascii="Cambria" w:hAnsi="Cambria" w:cs="Tahoma"/>
        </w:rPr>
        <w:fldChar w:fldCharType="end"/>
      </w:r>
      <w:r w:rsidRPr="00F97264">
        <w:rPr>
          <w:rFonts w:ascii="Cambria" w:hAnsi="Cambria" w:cs="Tahoma"/>
        </w:rPr>
        <w:t xml:space="preserve">, </w:t>
      </w:r>
      <w:r w:rsidRPr="00F97264">
        <w:rPr>
          <w:rFonts w:ascii="Cambria" w:hAnsi="Cambria" w:cs="Tahoma"/>
        </w:rPr>
        <w:fldChar w:fldCharType="begin" w:fldLock="1"/>
      </w:r>
      <w:r w:rsidR="00EF12FC" w:rsidRPr="00F97264">
        <w:rPr>
          <w:rFonts w:ascii="Cambria" w:hAnsi="Cambria" w:cs="Tahoma"/>
        </w:rPr>
        <w:instrText>ADDIN CSL_CITATION {"citationItems":[{"id":"ITEM-1","itemData":{"DOI":"10.21511/bbs.15(4).2020.09","ISSN":"19917074","abstract":"This study aims to assess the impact of bank-specific factors and macroeconomic indicators on the net interest margin (NIM) of commercial banks in Indonesia. Data from Indonesian commercial banks are used. Data are collected from the banks’ annual reports and the Financial Services Authority (OJK) for the period 2008 to 2018. A panel data regression model is used to estimate the effect of bank-specific and macroeconomic factors. The results prove that the variables of Non-Performing Loans (NPL), Loan to Deposit Ratio (LDR), Return on Assets (ROA), Interest Rate (SBI), and Exchange Rate (FOREX) affect NIM. The exchange rate variable has a predominant effect, while the NPL factor has a less strong influence on NIM. The empirical evidence from this research is important for commercial banks in Indonesia to improve operational efficiency through NIM performance. Internal and external factors of a bank should be subject of attention of bank managers.","author":[{"dropping-particle":"","family":"Astarini","given":"Raras Palupi","non-dropping-particle":"","parse-names":false,"suffix":""},{"dropping-particle":"","family":"Hartoyo","given":"Sri","non-dropping-particle":"","parse-names":false,"suffix":""},{"dropping-particle":"","family":"Maulana","given":"Tubagus Nur Ahmad","non-dropping-particle":"","parse-names":false,"suffix":""}],"container-title":"International Journal of Science and Research (IJSR)","id":"ITEM-1","issue":"9","issued":{"date-parts":[["2016"]]},"page":"99-107","title":"Impact of internal and external factors on the net interest margin of banks in Indonesia","type":"article-journal","volume":"5"},"uris":["http://www.mendeley.com/documents/?uuid=d3eea6bf-c1d3-43b0-8b86-bee09110dbca"]}],"mendeley":{"formattedCitation":"(Astarini et al., 2016)","manualFormatting":"Astarini et al., (2016)","plainTextFormattedCitation":"(Astarini et al., 2016)","previouslyFormattedCitation":"(Astarini et al., 2016)"},"properties":{"noteIndex":0},"schema":"https://github.com/citation-style-language/schema/raw/master/csl-citation.json"}</w:instrText>
      </w:r>
      <w:r w:rsidRPr="00F97264">
        <w:rPr>
          <w:rFonts w:ascii="Cambria" w:hAnsi="Cambria" w:cs="Tahoma"/>
        </w:rPr>
        <w:fldChar w:fldCharType="separate"/>
      </w:r>
      <w:r w:rsidRPr="00F97264">
        <w:rPr>
          <w:rFonts w:ascii="Cambria" w:hAnsi="Cambria" w:cs="Tahoma"/>
          <w:noProof/>
        </w:rPr>
        <w:t>Astarini et al. (2016)</w:t>
      </w:r>
      <w:r w:rsidRPr="00F97264">
        <w:rPr>
          <w:rFonts w:ascii="Cambria" w:hAnsi="Cambria" w:cs="Tahoma"/>
        </w:rPr>
        <w:fldChar w:fldCharType="end"/>
      </w:r>
      <w:r w:rsidRPr="00F97264">
        <w:rPr>
          <w:rFonts w:ascii="Cambria" w:hAnsi="Cambria" w:cs="Tahoma"/>
        </w:rPr>
        <w:t xml:space="preserve">, </w:t>
      </w:r>
      <w:r w:rsidR="00EF12FC" w:rsidRPr="00F97264">
        <w:rPr>
          <w:rFonts w:ascii="Cambria" w:hAnsi="Cambria" w:cs="Tahoma"/>
        </w:rPr>
        <w:fldChar w:fldCharType="begin" w:fldLock="1"/>
      </w:r>
      <w:r w:rsidR="00EF12FC" w:rsidRPr="00F97264">
        <w:rPr>
          <w:rFonts w:ascii="Cambria" w:hAnsi="Cambria" w:cs="Tahoma"/>
        </w:rPr>
        <w:instrText>ADDIN CSL_CITATION {"citationItems":[{"id":"ITEM-1","itemData":{"abstract":"Abstract-This study aims to examine and analyze the effect of Interest Rate, Economic Growth, Funding Growth, Capital Adequacy Ratio (CAR) and Non-Performing Loan (NPL) of Lending Growth Banks. Research data is annual data for 5 (five) years observation (December 2011 until December 2015). The sampling method used was purposive sampling. From a population of 40 Private Commercial Banks and Foreign National listed in Indonesia Stock Exchange (IDX), 30 Banks met the criteria to be the sample. The result showed that Economic Growth, Funding Growth and NPL are having positiveand significant influence to Lending Growth Banks. BI Rate and CAR are having positive influence but not significant to Lending Growth Banks. Economic Growth is the most significant variable in influencing Lending Growth Banks","author":[{"dropping-particle":"","family":"Yasnur","given":"Maulana","non-dropping-particle":"","parse-names":false,"suffix":""},{"dropping-particle":"","family":"Kurniasih","given":"Augustina","non-dropping-particle":"","parse-names":false,"suffix":""}],"container-title":"International Journal of Scientific and Research Publications","id":"ITEM-1","issue":"11","issued":{"date-parts":[["2017"]]},"page":"69-76","title":"Factors Affecting Bank Lending Growth : Cases In Indonesia","type":"article-journal","volume":"7"},"uris":["http://www.mendeley.com/documents/?uuid=7221cc1a-e2fe-4506-8b8b-0fedb3eddf1b"]}],"mendeley":{"formattedCitation":"(Yasnur &amp; Kurniasih, 2017)","manualFormatting":"Yasnur &amp; Kurniasih (2017)","plainTextFormattedCitation":"(Yasnur &amp; Kurniasih, 2017)","previouslyFormattedCitation":"(Yasnur &amp; Kurniasih, 2017)"},"properties":{"noteIndex":0},"schema":"https://github.com/citation-style-language/schema/raw/master/csl-citation.json"}</w:instrText>
      </w:r>
      <w:r w:rsidR="00EF12FC" w:rsidRPr="00F97264">
        <w:rPr>
          <w:rFonts w:ascii="Cambria" w:hAnsi="Cambria" w:cs="Tahoma"/>
        </w:rPr>
        <w:fldChar w:fldCharType="separate"/>
      </w:r>
      <w:r w:rsidR="00EF12FC" w:rsidRPr="00F97264">
        <w:rPr>
          <w:rFonts w:ascii="Cambria" w:hAnsi="Cambria" w:cs="Tahoma"/>
          <w:noProof/>
        </w:rPr>
        <w:t>Yasnur &amp; Kurniasih (2017)</w:t>
      </w:r>
      <w:r w:rsidR="00EF12FC" w:rsidRPr="00F97264">
        <w:rPr>
          <w:rFonts w:ascii="Cambria" w:hAnsi="Cambria" w:cs="Tahoma"/>
        </w:rPr>
        <w:fldChar w:fldCharType="end"/>
      </w:r>
      <w:r w:rsidR="00EF12FC" w:rsidRPr="00F97264">
        <w:rPr>
          <w:rFonts w:ascii="Cambria" w:hAnsi="Cambria" w:cs="Tahoma"/>
        </w:rPr>
        <w:t xml:space="preserve">, </w:t>
      </w:r>
      <w:r w:rsidR="00EF12FC" w:rsidRPr="00F97264">
        <w:rPr>
          <w:rFonts w:ascii="Cambria" w:hAnsi="Cambria" w:cs="Tahoma"/>
        </w:rPr>
        <w:fldChar w:fldCharType="begin" w:fldLock="1"/>
      </w:r>
      <w:r w:rsidR="00EF12FC" w:rsidRPr="00F97264">
        <w:rPr>
          <w:rFonts w:ascii="Cambria" w:hAnsi="Cambria" w:cs="Tahoma"/>
        </w:rPr>
        <w:instrText>ADDIN CSL_CITATION {"citationItems":[{"id":"ITEM-1","itemData":{"DOI":"10.46336/ijbesd.v2i2.132","ISSN":"2722-1164","abstract":"The purpose of this research is to determine the effect of DPK, NPF, and SBIS either partially or simultaneously on the distribution of Islamic banking financing in Indonesia. In this research , using quantitative methods and the type of data used is secondary data. The sample used in this study is data on total financing, DPK, NPF and fund placement in Islamic Commercial Bank SBIS which are contained in the monthly Islamic Banking Statistics published by the Financial Services Authority for the period 2015 - 2019. The data analysis technique used in this study is test classical assumption, multiple linear regression and hypothesis testing. The results of this study were processed in the SPSS 22 program.The results showed that partially (t test) the DPK variable had a positive effect on the distribution of financing. This was evidenced by the t count (56.185)&gt; (1.67252) t table and the sig value. 0.000 &lt; 0.005. The NPF variable has a negative effect with t count (-3.914) &lt;(1.67252) t table and sig. 0.000 &lt; 0.005. The SBIS variable has no effect, as evidenced by the t count (1.536) &lt;(1.67252) t table and the sig value. 0.130 &gt; 0.005. Taken together (F test) shows that DPK, NPF, and SBIS have a significant effect on financing distribution as evidenced by the value of F count (1565,122)&gt; (2.77) F table and sig. 0.000 &lt; 0.005. The adjusted R2 value is 0.988, which means that the DPK, NPF and SBIS variables affect the distribution of financing by 98.8% while the remaining 1.2% is influenced by variables outside of this research .","author":[{"dropping-particle":"","family":"Pradesyah","given":"Riyan","non-dropping-particle":"","parse-names":false,"suffix":""},{"dropping-particle":"","family":"Triandhini","given":"Yuyun","non-dropping-particle":"","parse-names":false,"suffix":""}],"container-title":"International Journal of Business, Economics, and Social Development","id":"ITEM-1","issue":"2","issued":{"date-parts":[["2021"]]},"page":"72-77","title":"The Effect Of Third Party Funds (DPK), Non Performing Financing (NPF), And Indonesian Sharia Bank Certificates (SBIS) On Sharia Banking Financing Distribution In Indonesia","type":"article-journal","volume":"2"},"uris":["http://www.mendeley.com/documents/?uuid=2ce7a542-447a-49de-acbf-23bf2e8edcba"]}],"mendeley":{"formattedCitation":"(Pradesyah &amp; Triandhini, 2021)","manualFormatting":"Pradesyah &amp; Triandhini (2021)","plainTextFormattedCitation":"(Pradesyah &amp; Triandhini, 2021)","previouslyFormattedCitation":"(Pradesyah &amp; Triandhini, 2021)"},"properties":{"noteIndex":0},"schema":"https://github.com/citation-style-language/schema/raw/master/csl-citation.json"}</w:instrText>
      </w:r>
      <w:r w:rsidR="00EF12FC" w:rsidRPr="00F97264">
        <w:rPr>
          <w:rFonts w:ascii="Cambria" w:hAnsi="Cambria" w:cs="Tahoma"/>
        </w:rPr>
        <w:fldChar w:fldCharType="separate"/>
      </w:r>
      <w:r w:rsidR="00EF12FC" w:rsidRPr="00F97264">
        <w:rPr>
          <w:rFonts w:ascii="Cambria" w:hAnsi="Cambria" w:cs="Tahoma"/>
          <w:noProof/>
        </w:rPr>
        <w:t>Pradesyah &amp; Triandhini (2021)</w:t>
      </w:r>
      <w:r w:rsidR="00EF12FC" w:rsidRPr="00F97264">
        <w:rPr>
          <w:rFonts w:ascii="Cambria" w:hAnsi="Cambria" w:cs="Tahoma"/>
        </w:rPr>
        <w:fldChar w:fldCharType="end"/>
      </w:r>
      <w:r w:rsidR="00EF12FC" w:rsidRPr="00F97264">
        <w:rPr>
          <w:rFonts w:ascii="Cambria" w:hAnsi="Cambria" w:cs="Tahoma"/>
        </w:rPr>
        <w:t xml:space="preserve">, and </w:t>
      </w:r>
      <w:r w:rsidR="00EF12FC" w:rsidRPr="00F97264">
        <w:rPr>
          <w:rFonts w:ascii="Cambria" w:hAnsi="Cambria" w:cs="Tahoma"/>
        </w:rPr>
        <w:fldChar w:fldCharType="begin" w:fldLock="1"/>
      </w:r>
      <w:r w:rsidR="00693CD5" w:rsidRPr="00F97264">
        <w:rPr>
          <w:rFonts w:ascii="Cambria" w:hAnsi="Cambria" w:cs="Tahoma"/>
        </w:rPr>
        <w:instrText>ADDIN CSL_CITATION {"citationItems":[{"id":"ITEM-1","itemData":{"abstract":"Murabaha financing is a type of financing that dominates the financing contract on Islamic banking in Indonesia. This shows that financing on the basis of sale (murabaha) has a greater contribution than the financing of the basis for the profit and loss sharing (mudraba and musaraka). The purpose of this study is to determine the factors that affect the financing of murabaha in the Islamic Commercial Banking in Indonesia by using variables Third Party Fund (DPK), Capital Adequacy Ratio (CAR), Financing to Deposit Ratio (FDR), Non-Performing Financing (NPF) and Return on Assets (ROA). The population in this study is the performance of Islamic Commercial Banks in Indonesia in the period of January 2014 to June 2016. The data used in this research is secondary data and sample selection by using purposive sampling method. The analytical tool used in this research is multiple linear regression analysis at significantly the rate of 5%. The results of this study indicate that the variable DPK, CAR, FDR, NPF, and ROA simultaneously have an influence on Murabaha. Coefficient determination test results show that the five independent variables affect the dependent variable amounted to 87.6% and the remaining 12.4% is influenced by other variables. Partially DPK, CAR, FDR, and ROA have a positive and significant effect on the financing Murabaha. While the NPF has no influence on Murabaha financing","author":[{"dropping-particle":"","family":"Husaeni","given":"Uus Ahmad","non-dropping-particle":"","parse-names":false,"suffix":""}],"container-title":"International Journal of Nusantara Islam","id":"ITEM-1","issue":"02","issued":{"date-parts":[["2016"]]},"page":"1-16","title":"The Variables Effects of Murabahah in Islamic Commercial Banks","type":"article-journal","volume":"04"},"uris":["http://www.mendeley.com/documents/?uuid=fd5164b7-8cae-41cc-b091-ce0d0262d052"]}],"mendeley":{"formattedCitation":"(Husaeni, 2016)","manualFormatting":"Husaeni (2016)","plainTextFormattedCitation":"(Husaeni, 2016)","previouslyFormattedCitation":"(Husaeni, 2016)"},"properties":{"noteIndex":0},"schema":"https://github.com/citation-style-language/schema/raw/master/csl-citation.json"}</w:instrText>
      </w:r>
      <w:r w:rsidR="00EF12FC" w:rsidRPr="00F97264">
        <w:rPr>
          <w:rFonts w:ascii="Cambria" w:hAnsi="Cambria" w:cs="Tahoma"/>
        </w:rPr>
        <w:fldChar w:fldCharType="separate"/>
      </w:r>
      <w:r w:rsidR="00EF12FC" w:rsidRPr="00F97264">
        <w:rPr>
          <w:rFonts w:ascii="Cambria" w:hAnsi="Cambria" w:cs="Tahoma"/>
          <w:noProof/>
        </w:rPr>
        <w:t>Husaeni (2016)</w:t>
      </w:r>
      <w:r w:rsidR="00EF12FC" w:rsidRPr="00F97264">
        <w:rPr>
          <w:rFonts w:ascii="Cambria" w:hAnsi="Cambria" w:cs="Tahoma"/>
        </w:rPr>
        <w:fldChar w:fldCharType="end"/>
      </w:r>
      <w:r w:rsidR="00EF12FC" w:rsidRPr="00F97264">
        <w:rPr>
          <w:rFonts w:ascii="Cambria" w:hAnsi="Cambria" w:cs="Tahoma"/>
        </w:rPr>
        <w:t>. Statistical results with positive coefficients, meaning that increasing Third Party Funds will increase the volume of Financing. Likewise with the short-term estimation results, where TPF at lag 1, lag 2, and lag 3 affects the Financing channeled by Islamic banking. Both in the short and long term, DPK has a significant effect on sharia banking financing, in line with the function of financial institutions, namely as intermediary institutions, where the distribution of Financing will grow along with the development of third-party funds.</w:t>
      </w:r>
    </w:p>
    <w:p w:rsidR="00776D75" w:rsidRPr="00F97264" w:rsidRDefault="00F35E8B" w:rsidP="00B440F6">
      <w:pPr>
        <w:pStyle w:val="ListParagraph"/>
        <w:spacing w:after="0" w:line="360" w:lineRule="auto"/>
        <w:ind w:left="0" w:firstLine="709"/>
        <w:jc w:val="both"/>
        <w:rPr>
          <w:rFonts w:ascii="Cambria" w:hAnsi="Cambria" w:cs="Tahoma"/>
        </w:rPr>
      </w:pPr>
      <w:r w:rsidRPr="00F97264">
        <w:rPr>
          <w:rFonts w:ascii="Cambria" w:hAnsi="Cambria" w:cs="Tahoma"/>
        </w:rPr>
        <w:t xml:space="preserve">Third-party funds are funds originating from the community, which can be in the form of </w:t>
      </w:r>
      <w:proofErr w:type="spellStart"/>
      <w:r w:rsidRPr="00F97264">
        <w:rPr>
          <w:rFonts w:ascii="Cambria" w:hAnsi="Cambria" w:cs="Tahoma"/>
        </w:rPr>
        <w:t>wadiah</w:t>
      </w:r>
      <w:proofErr w:type="spellEnd"/>
      <w:r w:rsidRPr="00F97264">
        <w:rPr>
          <w:rFonts w:ascii="Cambria" w:hAnsi="Cambria" w:cs="Tahoma"/>
        </w:rPr>
        <w:t xml:space="preserve"> demand deposits, </w:t>
      </w:r>
      <w:proofErr w:type="spellStart"/>
      <w:r w:rsidRPr="00F97264">
        <w:rPr>
          <w:rFonts w:ascii="Cambria" w:hAnsi="Cambria" w:cs="Tahoma"/>
        </w:rPr>
        <w:t>mudharabah</w:t>
      </w:r>
      <w:proofErr w:type="spellEnd"/>
      <w:r w:rsidRPr="00F97264">
        <w:rPr>
          <w:rFonts w:ascii="Cambria" w:hAnsi="Cambria" w:cs="Tahoma"/>
        </w:rPr>
        <w:t xml:space="preserve"> savings, </w:t>
      </w:r>
      <w:proofErr w:type="spellStart"/>
      <w:r w:rsidRPr="00F97264">
        <w:rPr>
          <w:rFonts w:ascii="Cambria" w:hAnsi="Cambria" w:cs="Tahoma"/>
        </w:rPr>
        <w:t>mudharabah</w:t>
      </w:r>
      <w:proofErr w:type="spellEnd"/>
      <w:r w:rsidRPr="00F97264">
        <w:rPr>
          <w:rFonts w:ascii="Cambria" w:hAnsi="Cambria" w:cs="Tahoma"/>
        </w:rPr>
        <w:t xml:space="preserve"> deposits. Apart from being a collecting institution, banks as financing channeling institutions are the main priority for banks in distributing their funds. Funds collected from the community are channeled back to the community in the form of </w:t>
      </w:r>
      <w:proofErr w:type="gramStart"/>
      <w:r w:rsidRPr="00F97264">
        <w:rPr>
          <w:rFonts w:ascii="Cambria" w:hAnsi="Cambria" w:cs="Tahoma"/>
        </w:rPr>
        <w:t>Financing</w:t>
      </w:r>
      <w:proofErr w:type="gramEnd"/>
      <w:r w:rsidRPr="00F97264">
        <w:rPr>
          <w:rFonts w:ascii="Cambria" w:hAnsi="Cambria" w:cs="Tahoma"/>
        </w:rPr>
        <w:t xml:space="preserve"> for their business using </w:t>
      </w:r>
      <w:proofErr w:type="spellStart"/>
      <w:r w:rsidRPr="00F97264">
        <w:rPr>
          <w:rFonts w:ascii="Cambria" w:hAnsi="Cambria" w:cs="Tahoma"/>
        </w:rPr>
        <w:t>mudharabah</w:t>
      </w:r>
      <w:proofErr w:type="spellEnd"/>
      <w:r w:rsidRPr="00F97264">
        <w:rPr>
          <w:rFonts w:ascii="Cambria" w:hAnsi="Cambria" w:cs="Tahoma"/>
        </w:rPr>
        <w:t xml:space="preserve">, </w:t>
      </w:r>
      <w:proofErr w:type="spellStart"/>
      <w:r w:rsidRPr="00F97264">
        <w:rPr>
          <w:rFonts w:ascii="Cambria" w:hAnsi="Cambria" w:cs="Tahoma"/>
        </w:rPr>
        <w:t>musyarakah</w:t>
      </w:r>
      <w:proofErr w:type="spellEnd"/>
      <w:r w:rsidRPr="00F97264">
        <w:rPr>
          <w:rFonts w:ascii="Cambria" w:hAnsi="Cambria" w:cs="Tahoma"/>
        </w:rPr>
        <w:t xml:space="preserve">, or </w:t>
      </w:r>
      <w:proofErr w:type="spellStart"/>
      <w:r w:rsidRPr="00F97264">
        <w:rPr>
          <w:rFonts w:ascii="Cambria" w:hAnsi="Cambria" w:cs="Tahoma"/>
        </w:rPr>
        <w:t>murabaha</w:t>
      </w:r>
      <w:proofErr w:type="spellEnd"/>
      <w:r w:rsidRPr="00F97264">
        <w:rPr>
          <w:rFonts w:ascii="Cambria" w:hAnsi="Cambria" w:cs="Tahoma"/>
        </w:rPr>
        <w:t xml:space="preserve"> contracts.</w:t>
      </w:r>
    </w:p>
    <w:p w:rsidR="00776D75" w:rsidRPr="00F97264" w:rsidRDefault="00F35E8B" w:rsidP="00776D75">
      <w:pPr>
        <w:pStyle w:val="ListParagraph"/>
        <w:spacing w:after="0" w:line="360" w:lineRule="auto"/>
        <w:ind w:left="0" w:firstLine="709"/>
        <w:jc w:val="both"/>
        <w:rPr>
          <w:rFonts w:ascii="Cambria" w:hAnsi="Cambria" w:cs="Tahoma"/>
          <w:color w:val="000000"/>
          <w:shd w:val="clear" w:color="auto" w:fill="FFFFFF"/>
        </w:rPr>
      </w:pPr>
      <w:r w:rsidRPr="00F97264">
        <w:rPr>
          <w:rFonts w:ascii="Cambria" w:hAnsi="Cambria" w:cs="Tahoma"/>
        </w:rPr>
        <w:t xml:space="preserve">Net Operating Margin (NOM) has a significant positive effect with a t-statistic value of </w:t>
      </w:r>
      <w:r w:rsidRPr="00F97264">
        <w:rPr>
          <w:rFonts w:ascii="Cambria" w:eastAsia="Times New Roman" w:hAnsi="Cambria" w:cs="Tahoma"/>
          <w:color w:val="000000"/>
          <w:lang w:eastAsia="id-ID"/>
        </w:rPr>
        <w:t xml:space="preserve">2.60323 &gt; t-table. The ability of Islamic banks to generate profits is important in the sustainability of a company, especially NOM, which is the main ratio in Islamic banks </w:t>
      </w:r>
      <w:r w:rsidR="00BB1017" w:rsidRPr="00F97264">
        <w:rPr>
          <w:rFonts w:ascii="Cambria" w:hAnsi="Cambria" w:cs="Tahoma"/>
          <w:color w:val="000000"/>
          <w:shd w:val="clear" w:color="auto" w:fill="FFFFFF"/>
        </w:rPr>
        <w:fldChar w:fldCharType="begin" w:fldLock="1"/>
      </w:r>
      <w:r w:rsidR="00BB1017" w:rsidRPr="00F97264">
        <w:rPr>
          <w:rFonts w:ascii="Cambria" w:hAnsi="Cambria" w:cs="Tahoma"/>
          <w:color w:val="000000"/>
          <w:shd w:val="clear" w:color="auto" w:fill="FFFFFF"/>
        </w:rPr>
        <w:instrText>ADDIN CSL_CITATION {"citationItems":[{"id":"ITEM-1","itemData":{"DOI":"10.18196/ijief.v4i0.10080","ISSN":"2622-3562","abstract":"The COVID-19 pandemic that is spreading in Indonesia has affected economic growth, likewise banks sector. This study aims to determine the financial performance factors that are affected by the COVID-19 pandemic, both in Islamic and conventional banking which are included in the CBGB 2 category so that banks in Indonesia can anticipate it. This study uses the Artificial Neural Network (ANN) method with 6 financial performance variables in the period of January 2020 - September 2020, namely Capital Adequacy Ratio (%), Operating Expenses / Operating Income (%), Net Operation Margin (%), Landing on Deposits. Ratio (%), Short Term Mismatch (%) which are used as the independent variable, as well as Return on Assets which is used as the dependent variable. The results showed that the COVID-19 pandemic affected financial performance factors in the form of a Funding to Deposit Ratio of 35.21%; Short Term Mismatch of 26.92% and Net Operation Margin of 26.92% in Islamic banking. Whereas in conventional banking, Operating Expenses to Operating Income was 72.87% and the Capital Adequacy Ratio was 17.31%. This result is also in line with previous research where Islamic banking is more vulnerable than conventional banking in facing financial crises.","author":[{"dropping-particle":"","family":"Fakhri","given":"Ulumuddin Nurul","non-dropping-particle":"","parse-names":false,"suffix":""},{"dropping-particle":"","family":"Darmawan","given":"Angga","non-dropping-particle":"","parse-names":false,"suffix":""}],"container-title":"International Journal of Islamic Economics and Finance (IJIEF)","id":"ITEM-1","issue":"SI","issued":{"date-parts":[["2021"]]},"page":"19-40","title":"Comparison of Islamic and Conventional Banking Financial Performance during the Covid-19 Period","type":"article-journal","volume":"4"},"uris":["http://www.mendeley.com/documents/?uuid=c21c4823-3968-4fe4-964e-72a197249e07"]}],"mendeley":{"formattedCitation":"(Fakhri &amp; Darmawan, 2021)","plainTextFormattedCitation":"(Fakhri &amp; Darmawan, 2021)","previouslyFormattedCitation":"(Fakhri &amp; Darmawan, 2021)"},"properties":{"noteIndex":0},"schema":"https://github.com/citation-style-language/schema/raw/master/csl-citation.json"}</w:instrText>
      </w:r>
      <w:r w:rsidR="00BB1017" w:rsidRPr="00F97264">
        <w:rPr>
          <w:rFonts w:ascii="Cambria" w:hAnsi="Cambria" w:cs="Tahoma"/>
          <w:color w:val="000000"/>
          <w:shd w:val="clear" w:color="auto" w:fill="FFFFFF"/>
        </w:rPr>
        <w:fldChar w:fldCharType="separate"/>
      </w:r>
      <w:r w:rsidR="00BB1017" w:rsidRPr="00F97264">
        <w:rPr>
          <w:rFonts w:ascii="Cambria" w:hAnsi="Cambria" w:cs="Tahoma"/>
          <w:noProof/>
          <w:color w:val="000000"/>
          <w:shd w:val="clear" w:color="auto" w:fill="FFFFFF"/>
        </w:rPr>
        <w:t>(Fakhri &amp; Darmawan, 2021)</w:t>
      </w:r>
      <w:r w:rsidR="00BB1017" w:rsidRPr="00F97264">
        <w:rPr>
          <w:rFonts w:ascii="Cambria" w:hAnsi="Cambria" w:cs="Tahoma"/>
          <w:color w:val="000000"/>
          <w:shd w:val="clear" w:color="auto" w:fill="FFFFFF"/>
        </w:rPr>
        <w:fldChar w:fldCharType="end"/>
      </w:r>
      <w:r w:rsidR="00BB1017" w:rsidRPr="00F97264">
        <w:rPr>
          <w:rFonts w:ascii="Cambria" w:eastAsia="Times New Roman" w:hAnsi="Cambria" w:cs="Tahoma"/>
          <w:color w:val="000000"/>
          <w:lang w:eastAsia="id-ID"/>
        </w:rPr>
        <w:t>. Islamic banks in this study have succeeded in making NOM at a positive point, as evidenced by the results showing that NOM has a significant positive effect on Islamic bank financing</w:t>
      </w:r>
      <w:r w:rsidR="008E22B1" w:rsidRPr="00F97264">
        <w:rPr>
          <w:rFonts w:ascii="Cambria" w:eastAsia="Times New Roman" w:hAnsi="Cambria" w:cs="Tahoma"/>
          <w:color w:val="000000"/>
          <w:lang w:eastAsia="id-ID"/>
        </w:rPr>
        <w:t xml:space="preserve">. </w:t>
      </w:r>
      <w:r w:rsidR="002C6B7C" w:rsidRPr="00F97264">
        <w:rPr>
          <w:rFonts w:ascii="Cambria" w:hAnsi="Cambria" w:cs="Tahoma"/>
          <w:color w:val="000000"/>
          <w:shd w:val="clear" w:color="auto" w:fill="FFFFFF"/>
        </w:rPr>
        <w:t xml:space="preserve">Thus, with a high NOM ratio for the success of bank management in </w:t>
      </w:r>
      <w:r w:rsidR="002C6B7C" w:rsidRPr="00F97264">
        <w:rPr>
          <w:rFonts w:ascii="Cambria" w:hAnsi="Cambria" w:cs="Tahoma"/>
          <w:color w:val="000000"/>
          <w:shd w:val="clear" w:color="auto" w:fill="FFFFFF"/>
        </w:rPr>
        <w:lastRenderedPageBreak/>
        <w:t>managing funds distributed to the public, will provide benefits to banks and can increase the volume of Financing distributed by Islamic banking.</w:t>
      </w:r>
    </w:p>
    <w:p w:rsidR="00B440F6" w:rsidRPr="00F97264" w:rsidRDefault="00F35E8B" w:rsidP="00776D75">
      <w:pPr>
        <w:pStyle w:val="ListParagraph"/>
        <w:spacing w:after="0" w:line="360" w:lineRule="auto"/>
        <w:ind w:left="0" w:firstLine="709"/>
        <w:jc w:val="both"/>
        <w:rPr>
          <w:rFonts w:ascii="Cambria" w:hAnsi="Cambria" w:cs="Tahoma"/>
          <w:color w:val="000000"/>
          <w:shd w:val="clear" w:color="auto" w:fill="FFFFFF"/>
        </w:rPr>
      </w:pPr>
      <w:r w:rsidRPr="00F97264">
        <w:rPr>
          <w:rFonts w:ascii="Cambria" w:hAnsi="Cambria" w:cs="Tahoma"/>
          <w:color w:val="000000"/>
          <w:shd w:val="clear" w:color="auto" w:fill="FFFFFF"/>
        </w:rPr>
        <w:t>In the short-term estimation, NOM has a significant negative effect on financing only in the first lag, lag 2 and lag 3; NOM has no significant effect. This indicates that the high NOM cannot be felt if it is only in the first lag. One month of increase in NOM received by Islamic banking has not been able to increase the disbursed Financing. Banking is still making adjustments related to the increase in NOM in the short term.</w:t>
      </w:r>
    </w:p>
    <w:p w:rsidR="00776D75" w:rsidRPr="00F97264" w:rsidRDefault="00F35E8B" w:rsidP="00776D75">
      <w:pPr>
        <w:pStyle w:val="ListParagraph"/>
        <w:spacing w:after="0" w:line="360" w:lineRule="auto"/>
        <w:ind w:left="0" w:firstLine="709"/>
        <w:jc w:val="both"/>
        <w:rPr>
          <w:rFonts w:ascii="Cambria" w:hAnsi="Cambria" w:cs="Tahoma"/>
        </w:rPr>
      </w:pPr>
      <w:r w:rsidRPr="00F97264">
        <w:rPr>
          <w:rFonts w:ascii="Cambria" w:hAnsi="Cambria" w:cs="Tahoma"/>
        </w:rPr>
        <w:t xml:space="preserve">Both in short-term estimates at lags 1, 2, and 3 and in long-term estimates, the Financing to Deposit Ratio has no significant effect on Financing where the t-statistic value of </w:t>
      </w:r>
      <w:r w:rsidR="008221C2" w:rsidRPr="00F97264">
        <w:rPr>
          <w:rFonts w:ascii="Cambria" w:eastAsia="Times New Roman" w:hAnsi="Cambria" w:cs="Tahoma"/>
          <w:color w:val="000000"/>
          <w:lang w:eastAsia="id-ID"/>
        </w:rPr>
        <w:t xml:space="preserve">-1.08034 </w:t>
      </w:r>
      <w:r w:rsidR="008221C2" w:rsidRPr="00F97264">
        <w:rPr>
          <w:rFonts w:ascii="Cambria" w:hAnsi="Cambria" w:cs="Tahoma"/>
        </w:rPr>
        <w:t xml:space="preserve">is smaller than the t-table. The results of this study are in line with other researchers, namely </w:t>
      </w:r>
      <w:r w:rsidR="008221C2" w:rsidRPr="00F97264">
        <w:rPr>
          <w:rFonts w:ascii="Cambria" w:hAnsi="Cambria" w:cs="Tahoma"/>
        </w:rPr>
        <w:fldChar w:fldCharType="begin" w:fldLock="1"/>
      </w:r>
      <w:r w:rsidR="00654B98" w:rsidRPr="00F97264">
        <w:rPr>
          <w:rFonts w:ascii="Cambria" w:hAnsi="Cambria" w:cs="Tahoma"/>
        </w:rPr>
        <w:instrText>ADDIN CSL_CITATION {"citationItems":[{"id":"ITEM-1","itemData":{"DOI":"10.53952/jir.v9i2.337","ISSN":"2442-3416","abstract":"This study aims to analyze the effect of Financing to Deposit Ratio (FDR), Non Performing Financing (NPF), Third Party Funds (TPF), Asset Growth on Financing Provided (PYD). The update in this study is the Asset Growth variable which is thought to have a close relationship with PYD. This study is a quantitative research with SPSS statistical test.The sample of this study are the Islamic banks in Indonesia, which were taken based on the number of provinces in Indonesia which is 33 (thirty three) provinces throughout 2018-2020. The source of data used in this study is from the secondary data taken from the website www.ojk.go.id. The data analysis used in this study is from conducting the classical assumptions test then followed by multiple regression which are the determination test and T test. While the results of the t test showed that TPF had a positive and significant effect on PYD, while FDR had no effect on PYD. The same as Asset Growth no effect on PYD. Also NPF had a negative and significant effect on PYD. The coefficient of determination test results show the Adjusted R Square value of 0.173, this indicates that only 17.3% of the PYD financing variables are influenced by NPF, PYD, and FDR while the remaining 82.7% is influenced by other factors Keywords: NPF; TPF; FDR; PYD; Asset Growth; ABSTRAK Tujuan penelitian untuk menguji pengaruh Financing to Deposit Ratio (FDR), Dana Pihak Ketiga (DPK), Non Performing Financing (NPF), Pertumbuhan Aset terhadap Pembiayaan Yang Diberikan (PYD). Perbaharuan dalam penelitian ini yaitu variabel Pertumbuhan Aset yang diduga memiliki kaitan yang erat terhadap PYD. Jenis penelitian kuantitatif dengan uji statistik SPSS. Sampel penelitian yaitu bank syariah yang ada di Indonesia diambil berdasarkan jumlah provinsi sebanyak 33 (tiga puluh tiga) provinsi periode 2018 - 2020. Data yang digunakan bersumber dari data sekunder yang diperoleh dari situs www.ojk.go.id. Analisis data yang digunakan yaitu dengan melakukan uji asumsi klasik kemudian dilanjutkan dengan regresi berganda yaitu uji determinasi dan Uji t. Sedangkan hasil uji t menunjukkan DPK berpengaruh positif dan signifikan terhadap PYD, FDR tidak berpengaruh terhadap PYD, Pertumbuhan asset tidak berpengaruh terhadap PYD dan NPF berpengaruh negatif dan signifikan terhadap PYD. Hasil uji koefisien determinasi menunjukkan nilai Adjusted R Square 0,173, hal ini menunjukkan bahwa hanya 17,3% variabel pembiayaan PYD dipengaruhi oleh NPF, DPK, dan FDR sedangkan sisan…","author":[{"dropping-particle":"","family":"Khotmi","given":"Herawati","non-dropping-particle":"","parse-names":false,"suffix":""},{"dropping-particle":"","family":"Wahyullah","given":"Muhammad","non-dropping-particle":"","parse-names":false,"suffix":""},{"dropping-particle":"","family":"Fachrozi","given":"","non-dropping-particle":"","parse-names":false,"suffix":""}],"container-title":"Journal Ilmiah Rinjani : Media Informasi Ilmiah Universitas Gunung Rinjani","id":"ITEM-1","issue":"2","issued":{"date-parts":[["2021"]]},"page":"1-10","title":"Determinants of Funding Provided (Study on Islamic Commercial Banks in Indonesia for the 2018-2020 Period)","type":"article-journal","volume":"9"},"uris":["http://www.mendeley.com/documents/?uuid=d13cdb70-da3a-4a8a-8bc8-a1eb12e87528"]}],"mendeley":{"formattedCitation":"(Khotmi et al., 2021)","manualFormatting":"Khotmi et al., (2021)","plainTextFormattedCitation":"(Khotmi et al., 2021)","previouslyFormattedCitation":"(Khotmi et al., 2021)"},"properties":{"noteIndex":0},"schema":"https://github.com/citation-style-language/schema/raw/master/csl-citation.json"}</w:instrText>
      </w:r>
      <w:r w:rsidR="008221C2" w:rsidRPr="00F97264">
        <w:rPr>
          <w:rFonts w:ascii="Cambria" w:hAnsi="Cambria" w:cs="Tahoma"/>
        </w:rPr>
        <w:fldChar w:fldCharType="separate"/>
      </w:r>
      <w:r w:rsidR="008221C2" w:rsidRPr="00F97264">
        <w:rPr>
          <w:rFonts w:ascii="Cambria" w:hAnsi="Cambria" w:cs="Tahoma"/>
          <w:noProof/>
        </w:rPr>
        <w:t xml:space="preserve">Khotmi et al. (2021) </w:t>
      </w:r>
      <w:r w:rsidR="008221C2" w:rsidRPr="00F97264">
        <w:rPr>
          <w:rFonts w:ascii="Cambria" w:hAnsi="Cambria" w:cs="Tahoma"/>
        </w:rPr>
        <w:fldChar w:fldCharType="end"/>
      </w:r>
      <w:r w:rsidR="008221C2" w:rsidRPr="00F97264">
        <w:rPr>
          <w:rFonts w:ascii="Cambria" w:hAnsi="Cambria" w:cs="Tahoma"/>
        </w:rPr>
        <w:t xml:space="preserve">and </w:t>
      </w:r>
      <w:r w:rsidR="00C3125C" w:rsidRPr="00F97264">
        <w:rPr>
          <w:rFonts w:ascii="Cambria" w:hAnsi="Cambria" w:cs="Tahoma"/>
        </w:rPr>
        <w:fldChar w:fldCharType="begin" w:fldLock="1"/>
      </w:r>
      <w:r w:rsidR="00654B98" w:rsidRPr="00F97264">
        <w:rPr>
          <w:rFonts w:ascii="Cambria" w:hAnsi="Cambria" w:cs="Tahoma"/>
        </w:rPr>
        <w:instrText>ADDIN CSL_CITATION {"citationItems":[{"id":"ITEM-1","itemData":{"DOI":"10.22373/jihbiz.v1i1.4598","abstract":"Penelitian ini bertujuan untuk melihat pengaruh Non Performing Financing (NPF), Financing to Deposit Ratio(FDR) dan Tingkat Suku Bunga Deposito Bank Konvensional (TSBD) Terhadap Pembiayaan Mudharabah Pada Bank Umum Syari’ah di Aceh. Data penelitian ini menggunakan data sekunder dari tahun 2015 sampai dengan 2017 bersumber dari www.bi.go.id. Metode analisis data yang digunakan adalah model regresi linier berganda. Pengujian hipotesis dilakukan dengan uji statistik yaitu uji parsial (uji-t) dan uji simultan (uji-F) dengan tingkat signifikansi 5%. Hasil uji secara simultan (uji-F) menunjukkan bahwa Non Performing Financing (NPF), Financing to Deposit Ratio(FDR) dan Tingkat Suku Bunga Deposito Bank Konvensional (TSBD) memiliki pengaruh yang signifikan terhadap pembiayaan mudharabah. Penelitian ini juga menemukan bahwa secara parsial variabel Non Performing Financing (NPF) memiliki pengaruh yang negatif dan signifikan terhadap pembiayaan mudharabah dan untuk Tingkat Suku Bunga Deposito Bank Konvensional (TSBD) memiliki pengaruh yang positif dan signifikan terhadap pembiayaan mudharabah.","author":[{"dropping-particle":"","family":"Arbi","given":"Harianto","non-dropping-particle":"","parse-names":false,"suffix":""},{"dropping-particle":"","family":"Ahmadsyah","given":"Israk","non-dropping-particle":"","parse-names":false,"suffix":""},{"dropping-particle":"","family":"Zainul","given":"Zaida Rizqi","non-dropping-particle":"","parse-names":false,"suffix":""}],"container-title":"JIHBIZ :Global Journal of Islamic Banking and Finance.","id":"ITEM-1","issue":"1","issued":{"date-parts":[["2019"]]},"page":"1-15","title":"The Influence of Non Performing Financing (NPF), Financing To Deposit Ratio (FDR) and Conventional Bank Deposit Interest Rates on Mudharabah Financing at Syari'Ah Commercial Banks in Aceh","type":"article-journal","volume":"1"},"uris":["http://www.mendeley.com/documents/?uuid=90f1ece1-78b9-4c15-9a11-6ef5d8f2cf74"]}],"mendeley":{"formattedCitation":"(Arbi et al., 2019)","manualFormatting":"Arbi et al., (2019)","plainTextFormattedCitation":"(Arbi et al., 2019)","previouslyFormattedCitation":"(Arbi et al., 2019)"},"properties":{"noteIndex":0},"schema":"https://github.com/citation-style-language/schema/raw/master/csl-citation.json"}</w:instrText>
      </w:r>
      <w:r w:rsidR="00C3125C" w:rsidRPr="00F97264">
        <w:rPr>
          <w:rFonts w:ascii="Cambria" w:hAnsi="Cambria" w:cs="Tahoma"/>
        </w:rPr>
        <w:fldChar w:fldCharType="separate"/>
      </w:r>
      <w:r w:rsidR="00C3125C" w:rsidRPr="00F97264">
        <w:rPr>
          <w:rFonts w:ascii="Cambria" w:hAnsi="Cambria" w:cs="Tahoma"/>
          <w:noProof/>
        </w:rPr>
        <w:t>Arbi et al. (2019)</w:t>
      </w:r>
      <w:r w:rsidR="00C3125C" w:rsidRPr="00F97264">
        <w:rPr>
          <w:rFonts w:ascii="Cambria" w:hAnsi="Cambria" w:cs="Tahoma"/>
        </w:rPr>
        <w:fldChar w:fldCharType="end"/>
      </w:r>
      <w:r w:rsidR="00C3125C" w:rsidRPr="00F97264">
        <w:rPr>
          <w:rFonts w:ascii="Cambria" w:hAnsi="Cambria" w:cs="Tahoma"/>
        </w:rPr>
        <w:t xml:space="preserve">, in contrast to the results carried out by </w:t>
      </w:r>
      <w:r w:rsidR="00C3125C" w:rsidRPr="00F97264">
        <w:rPr>
          <w:rFonts w:ascii="Cambria" w:hAnsi="Cambria" w:cs="Tahoma"/>
        </w:rPr>
        <w:fldChar w:fldCharType="begin" w:fldLock="1"/>
      </w:r>
      <w:r w:rsidR="00826126" w:rsidRPr="00F97264">
        <w:rPr>
          <w:rFonts w:ascii="Cambria" w:hAnsi="Cambria" w:cs="Tahoma"/>
        </w:rPr>
        <w:instrText>ADDIN CSL_CITATION {"citationItems":[{"id":"ITEM-1","itemData":{"DOI":"10.21511/bbs.15(4).2020.09","ISSN":"19917074","abstract":"This study aims to assess the impact of bank-specific factors and macroeconomic indicators on the net interest margin (NIM) of commercial banks in Indonesia. Data from Indonesian commercial banks are used. Data are collected from the banks’ annual reports and the Financial Services Authority (OJK) for the period 2008 to 2018. A panel data regression model is used to estimate the effect of bank-specific and macroeconomic factors. The results prove that the variables of Non-Performing Loans (NPL), Loan to Deposit Ratio (LDR), Return on Assets (ROA), Interest Rate (SBI), and Exchange Rate (FOREX) affect NIM. The exchange rate variable has a predominant effect, while the NPL factor has a less strong influence on NIM. The empirical evidence from this research is important for commercial banks in Indonesia to improve operational efficiency through NIM performance. Internal and external factors of a bank should be subject of attention of bank managers.","author":[{"dropping-particle":"","family":"Astarini","given":"Raras Palupi","non-dropping-particle":"","parse-names":false,"suffix":""},{"dropping-particle":"","family":"Hartoyo","given":"Sri","non-dropping-particle":"","parse-names":false,"suffix":""},{"dropping-particle":"","family":"Maulana","given":"Tubagus Nur Ahmad","non-dropping-particle":"","parse-names":false,"suffix":""}],"container-title":"International Journal of Science and Research (IJSR)","id":"ITEM-1","issue":"9","issued":{"date-parts":[["2016"]]},"page":"99-107","title":"Impact of internal and external factors on the net interest margin of banks in Indonesia","type":"article-journal","volume":"5"},"uris":["http://www.mendeley.com/documents/?uuid=d3eea6bf-c1d3-43b0-8b86-bee09110dbca"]}],"mendeley":{"formattedCitation":"(Astarini et al., 2016)","plainTextFormattedCitation":"(Astarini et al., 2016)","previouslyFormattedCitation":"(Astarini et al., 2016)"},"properties":{"noteIndex":0},"schema":"https://github.com/citation-style-language/schema/raw/master/csl-citation.json"}</w:instrText>
      </w:r>
      <w:r w:rsidR="00C3125C" w:rsidRPr="00F97264">
        <w:rPr>
          <w:rFonts w:ascii="Cambria" w:hAnsi="Cambria" w:cs="Tahoma"/>
        </w:rPr>
        <w:fldChar w:fldCharType="separate"/>
      </w:r>
      <w:r w:rsidR="00C3125C" w:rsidRPr="00F97264">
        <w:rPr>
          <w:rFonts w:ascii="Cambria" w:hAnsi="Cambria" w:cs="Tahoma"/>
          <w:noProof/>
        </w:rPr>
        <w:t xml:space="preserve">(Astarini et al., 2016), </w:t>
      </w:r>
      <w:r w:rsidR="00C3125C" w:rsidRPr="00F97264">
        <w:rPr>
          <w:rFonts w:ascii="Cambria" w:hAnsi="Cambria" w:cs="Tahoma"/>
        </w:rPr>
        <w:fldChar w:fldCharType="end"/>
      </w:r>
      <w:r w:rsidR="00C3125C" w:rsidRPr="00F97264">
        <w:rPr>
          <w:rFonts w:ascii="Cambria" w:hAnsi="Cambria" w:cs="Tahoma"/>
        </w:rPr>
        <w:t>where FDR has a significant effect on MSME or non-MSME Financing. The results of this study indicate that the rise and fall of FDR will not affect the increase or decrease in Financing. A higher FDR value can indicate an increase in a bank's ability to channel Financing. However, caution must be taken if a bank's FDR is too high, which will lead to illiquidity. However, the results show the expected hypothesis, namely that there is no effect on Financing. Even though it tends to be unstable, the FDR of Islamic banking in Indonesia is still within the safe range set by Bank Indonesia (BI), namely from 80% to 110%.</w:t>
      </w:r>
    </w:p>
    <w:p w:rsidR="00953D55" w:rsidRPr="00F97264" w:rsidRDefault="00F35E8B" w:rsidP="00953D55">
      <w:pPr>
        <w:pStyle w:val="ListParagraph"/>
        <w:spacing w:after="0" w:line="360" w:lineRule="auto"/>
        <w:ind w:left="0" w:firstLine="709"/>
        <w:jc w:val="both"/>
        <w:rPr>
          <w:rFonts w:ascii="Cambria" w:eastAsia="Times New Roman" w:hAnsi="Cambria" w:cs="Tahoma"/>
          <w:color w:val="000000"/>
          <w:lang w:eastAsia="id-ID"/>
        </w:rPr>
      </w:pPr>
      <w:r w:rsidRPr="00F97264">
        <w:rPr>
          <w:rFonts w:ascii="Cambria" w:hAnsi="Cambria" w:cs="Tahoma"/>
          <w:color w:val="000000"/>
          <w:shd w:val="clear" w:color="auto" w:fill="FFFFFF"/>
        </w:rPr>
        <w:t xml:space="preserve">Non-Performing Financing has a significant negative effect on Financing with a t-statistic value of </w:t>
      </w:r>
      <w:r w:rsidRPr="00F97264">
        <w:rPr>
          <w:rFonts w:ascii="Cambria" w:eastAsia="Times New Roman" w:hAnsi="Cambria" w:cs="Tahoma"/>
          <w:color w:val="000000"/>
          <w:lang w:eastAsia="id-ID"/>
        </w:rPr>
        <w:t xml:space="preserve">-3.84989 &gt; t-table. This means that the higher the NPF of Islamic Banking, the lower the disbursed Financing. This is in line with several studies that have been conducted, namely by </w:t>
      </w:r>
      <w:r w:rsidR="00826126" w:rsidRPr="00F97264">
        <w:rPr>
          <w:rFonts w:ascii="Cambria" w:eastAsia="Times New Roman" w:hAnsi="Cambria" w:cs="Tahoma"/>
          <w:color w:val="000000"/>
          <w:lang w:eastAsia="id-ID"/>
        </w:rPr>
        <w:fldChar w:fldCharType="begin" w:fldLock="1"/>
      </w:r>
      <w:r w:rsidR="00826126" w:rsidRPr="00F97264">
        <w:rPr>
          <w:rFonts w:ascii="Cambria" w:eastAsia="Times New Roman" w:hAnsi="Cambria" w:cs="Tahoma"/>
          <w:color w:val="000000"/>
          <w:lang w:eastAsia="id-ID"/>
        </w:rPr>
        <w:instrText>ADDIN CSL_CITATION {"citationItems":[{"id":"ITEM-1","itemData":{"DOI":"10.46336/ijbesd.v2i2.132","ISSN":"2722-1164","abstract":"The purpose of this research is to determine the effect of DPK, NPF, and SBIS either partially or simultaneously on the distribution of Islamic banking financing in Indonesia. In this research , using quantitative methods and the type of data used is secondary data. The sample used in this study is data on total financing, DPK, NPF and fund placement in Islamic Commercial Bank SBIS which are contained in the monthly Islamic Banking Statistics published by the Financial Services Authority for the period 2015 - 2019. The data analysis technique used in this study is test classical assumption, multiple linear regression and hypothesis testing. The results of this study were processed in the SPSS 22 program.The results showed that partially (t test) the DPK variable had a positive effect on the distribution of financing. This was evidenced by the t count (56.185)&gt; (1.67252) t table and the sig value. 0.000 &lt; 0.005. The NPF variable has a negative effect with t count (-3.914) &lt;(1.67252) t table and sig. 0.000 &lt; 0.005. The SBIS variable has no effect, as evidenced by the t count (1.536) &lt;(1.67252) t table and the sig value. 0.130 &gt; 0.005. Taken together (F test) shows that DPK, NPF, and SBIS have a significant effect on financing distribution as evidenced by the value of F count (1565,122)&gt; (2.77) F table and sig. 0.000 &lt; 0.005. The adjusted R2 value is 0.988, which means that the DPK, NPF and SBIS variables affect the distribution of financing by 98.8% while the remaining 1.2% is influenced by variables outside of this research .","author":[{"dropping-particle":"","family":"Pradesyah","given":"Riyan","non-dropping-particle":"","parse-names":false,"suffix":""},{"dropping-particle":"","family":"Triandhini","given":"Yuyun","non-dropping-particle":"","parse-names":false,"suffix":""}],"container-title":"International Journal of Business, Economics, and Social Development","id":"ITEM-1","issue":"2","issued":{"date-parts":[["2021"]]},"page":"72-77","title":"The Effect Of Third Party Funds (DPK), Non Performing Financing (NPF), And Indonesian Sharia Bank Certificates (SBIS) On Sharia Banking Financing Distribution In Indonesia","type":"article-journal","volume":"2"},"uris":["http://www.mendeley.com/documents/?uuid=2ce7a542-447a-49de-acbf-23bf2e8edcba"]}],"mendeley":{"formattedCitation":"(Pradesyah &amp; Triandhini, 2021)","manualFormatting":"Pradesyah &amp; Triandhini (2021)","plainTextFormattedCitation":"(Pradesyah &amp; Triandhini, 2021)","previouslyFormattedCitation":"(Pradesyah &amp; Triandhini, 2021)"},"properties":{"noteIndex":0},"schema":"https://github.com/citation-style-language/schema/raw/master/csl-citation.json"}</w:instrText>
      </w:r>
      <w:r w:rsidR="00826126" w:rsidRPr="00F97264">
        <w:rPr>
          <w:rFonts w:ascii="Cambria" w:eastAsia="Times New Roman" w:hAnsi="Cambria" w:cs="Tahoma"/>
          <w:color w:val="000000"/>
          <w:lang w:eastAsia="id-ID"/>
        </w:rPr>
        <w:fldChar w:fldCharType="separate"/>
      </w:r>
      <w:r w:rsidR="00826126" w:rsidRPr="00F97264">
        <w:rPr>
          <w:rFonts w:ascii="Cambria" w:eastAsia="Times New Roman" w:hAnsi="Cambria" w:cs="Tahoma"/>
          <w:noProof/>
          <w:color w:val="000000"/>
          <w:lang w:eastAsia="id-ID"/>
        </w:rPr>
        <w:t xml:space="preserve">Pradesyah &amp; Triandhini (2021) </w:t>
      </w:r>
      <w:r w:rsidR="00826126" w:rsidRPr="00F97264">
        <w:rPr>
          <w:rFonts w:ascii="Cambria" w:eastAsia="Times New Roman" w:hAnsi="Cambria" w:cs="Tahoma"/>
          <w:color w:val="000000"/>
          <w:lang w:eastAsia="id-ID"/>
        </w:rPr>
        <w:fldChar w:fldCharType="end"/>
      </w:r>
      <w:r w:rsidR="008A0657" w:rsidRPr="00F97264">
        <w:rPr>
          <w:rFonts w:ascii="Cambria" w:eastAsia="Times New Roman" w:hAnsi="Cambria" w:cs="Tahoma"/>
          <w:color w:val="000000"/>
          <w:lang w:eastAsia="id-ID"/>
        </w:rPr>
        <w:t xml:space="preserve">and </w:t>
      </w:r>
      <w:r w:rsidR="00826126" w:rsidRPr="00F97264">
        <w:rPr>
          <w:rFonts w:ascii="Cambria" w:eastAsia="Times New Roman" w:hAnsi="Cambria" w:cs="Tahoma"/>
          <w:color w:val="000000"/>
          <w:lang w:eastAsia="id-ID"/>
        </w:rPr>
        <w:fldChar w:fldCharType="begin" w:fldLock="1"/>
      </w:r>
      <w:r w:rsidR="003235C4" w:rsidRPr="00F97264">
        <w:rPr>
          <w:rFonts w:ascii="Cambria" w:eastAsia="Times New Roman" w:hAnsi="Cambria" w:cs="Tahoma"/>
          <w:color w:val="000000"/>
          <w:lang w:eastAsia="id-ID"/>
        </w:rPr>
        <w:instrText>ADDIN CSL_CITATION {"citationItems":[{"id":"ITEM-1","itemData":{"DOI":"10.21511/ed.19(4).2020.04","ISSN":"16831942","abstract":"The goal of the paper is to disclose the links between the dynamics of macroeconomic indicators and the level of bank loan rates based on international and Ukrainian practice. On the basis of the previous analysis, the paper also aims to identify the key trends in the formation of loan prices in the long run and identify problematic issues related to bank loan rates. The main characteristics of bank lending rates in Ukraine are: a) their high rates; b) sharp changes in the weighted average bank loan rates from year to year; c) higher loan rates for households compared to the cost of bank loans for businesses; d) higher bank loan rates for short- and medium-term loans versus long-term ones; e) lower rates on loans in foreign currency compared to the loans in hryvnia; and f) high share of non-performing loans to households and businesses in bank portfolios. In the context of world and Ukrainian practice, the paper demonstrates the reverse effect between macroeconomic indicators such as GDP per capita, the ratio of loans to GDP, the ease of doing business index and bank loan rates. The article also demonstrates a direct relationship between the dynamics of inflation rate in the country, the dynamics of non-performing bank loans and their rates.","author":[{"dropping-particle":"","family":"Ivakhnenkov","given":"Sergiy","non-dropping-particle":"","parse-names":false,"suffix":""},{"dropping-particle":"","family":"Hlushchenko","given":"Svitlana","non-dropping-particle":"","parse-names":false,"suffix":""},{"dropping-particle":"","family":"Sverenko","given":"Kamilla","non-dropping-particle":"","parse-names":false,"suffix":""}],"container-title":"Economics of Development","id":"ITEM-1","issue":"4","issued":{"date-parts":[["2021"]]},"page":"35-47","title":"Macroeconomic factors that influence the bank loans rate in international and Ukrainian practice","type":"article-journal","volume":"19"},"uris":["http://www.mendeley.com/documents/?uuid=b56c10cc-4560-4863-ab3c-c03bbdd73db5"]}],"mendeley":{"formattedCitation":"(Ivakhnenkov et al., 2021)","manualFormatting":"Ivakhnenkov et al., (2021)","plainTextFormattedCitation":"(Ivakhnenkov et al., 2021)","previouslyFormattedCitation":"(Ivakhnenkov et al., 2021)"},"properties":{"noteIndex":0},"schema":"https://github.com/citation-style-language/schema/raw/master/csl-citation.json"}</w:instrText>
      </w:r>
      <w:r w:rsidR="00826126" w:rsidRPr="00F97264">
        <w:rPr>
          <w:rFonts w:ascii="Cambria" w:eastAsia="Times New Roman" w:hAnsi="Cambria" w:cs="Tahoma"/>
          <w:color w:val="000000"/>
          <w:lang w:eastAsia="id-ID"/>
        </w:rPr>
        <w:fldChar w:fldCharType="separate"/>
      </w:r>
      <w:r w:rsidR="00826126" w:rsidRPr="00F97264">
        <w:rPr>
          <w:rFonts w:ascii="Cambria" w:eastAsia="Times New Roman" w:hAnsi="Cambria" w:cs="Tahoma"/>
          <w:noProof/>
          <w:color w:val="000000"/>
          <w:lang w:eastAsia="id-ID"/>
        </w:rPr>
        <w:t>Ivakhnenkov et al. (2021)</w:t>
      </w:r>
      <w:r w:rsidR="00826126" w:rsidRPr="00F97264">
        <w:rPr>
          <w:rFonts w:ascii="Cambria" w:eastAsia="Times New Roman" w:hAnsi="Cambria" w:cs="Tahoma"/>
          <w:color w:val="000000"/>
          <w:lang w:eastAsia="id-ID"/>
        </w:rPr>
        <w:fldChar w:fldCharType="end"/>
      </w:r>
      <w:r w:rsidR="008A0657" w:rsidRPr="00F97264">
        <w:rPr>
          <w:rFonts w:ascii="Cambria" w:eastAsia="Times New Roman" w:hAnsi="Cambria" w:cs="Tahoma"/>
          <w:color w:val="000000"/>
          <w:lang w:eastAsia="id-ID"/>
        </w:rPr>
        <w:t xml:space="preserve">, besides that shocks to non-performing loans will have an impact on credit growth </w:t>
      </w:r>
      <w:r w:rsidR="005F14A0" w:rsidRPr="00F97264">
        <w:rPr>
          <w:rFonts w:ascii="Cambria" w:eastAsia="Times New Roman" w:hAnsi="Cambria" w:cs="Tahoma"/>
          <w:color w:val="000000"/>
          <w:lang w:eastAsia="id-ID"/>
        </w:rPr>
        <w:fldChar w:fldCharType="begin" w:fldLock="1"/>
      </w:r>
      <w:r w:rsidR="000E4933" w:rsidRPr="00F97264">
        <w:rPr>
          <w:rFonts w:ascii="Cambria" w:eastAsia="Times New Roman" w:hAnsi="Cambria" w:cs="Tahoma"/>
          <w:color w:val="000000"/>
          <w:lang w:eastAsia="id-ID"/>
        </w:rPr>
        <w:instrText>ADDIN CSL_CITATION {"citationItems":[{"id":"ITEM-1","itemData":{"DOI":"10.5089/9781484318522.001","ISSN":"1018-5941","abstract":"Predicting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approach.","author":[{"dropping-particle":"","family":"Klein","given":"Nir","non-dropping-particle":"","parse-names":false,"suffix":""}],"container-title":"IMF Working Papers","id":"ITEM-1","issue":"72","issued":{"date-parts":[["2013"]]},"page":"1","title":"Non-Performing Loans in CESEE: Determinants and Impact on Macroeconomic Performance","type":"article-journal","volume":"13"},"uris":["http://www.mendeley.com/documents/?uuid=15638ee6-7fff-43b7-bb15-32f10a267971"]}],"mendeley":{"formattedCitation":"(Klein, 2013)","plainTextFormattedCitation":"(Klein, 2013)","previouslyFormattedCitation":"(Klein, 2013)"},"properties":{"noteIndex":0},"schema":"https://github.com/citation-style-language/schema/raw/master/csl-citation.json"}</w:instrText>
      </w:r>
      <w:r w:rsidR="005F14A0" w:rsidRPr="00F97264">
        <w:rPr>
          <w:rFonts w:ascii="Cambria" w:eastAsia="Times New Roman" w:hAnsi="Cambria" w:cs="Tahoma"/>
          <w:color w:val="000000"/>
          <w:lang w:eastAsia="id-ID"/>
        </w:rPr>
        <w:fldChar w:fldCharType="separate"/>
      </w:r>
      <w:r w:rsidR="005F14A0" w:rsidRPr="00F97264">
        <w:rPr>
          <w:rFonts w:ascii="Cambria" w:eastAsia="Times New Roman" w:hAnsi="Cambria" w:cs="Tahoma"/>
          <w:noProof/>
          <w:color w:val="000000"/>
          <w:lang w:eastAsia="id-ID"/>
        </w:rPr>
        <w:t>(Klein, 2013)</w:t>
      </w:r>
      <w:r w:rsidR="005F14A0" w:rsidRPr="00F97264">
        <w:rPr>
          <w:rFonts w:ascii="Cambria" w:eastAsia="Times New Roman" w:hAnsi="Cambria" w:cs="Tahoma"/>
          <w:color w:val="000000"/>
          <w:lang w:eastAsia="id-ID"/>
        </w:rPr>
        <w:fldChar w:fldCharType="end"/>
      </w:r>
      <w:r w:rsidR="005F14A0" w:rsidRPr="00F97264">
        <w:rPr>
          <w:rFonts w:ascii="Cambria" w:eastAsia="Times New Roman" w:hAnsi="Cambria" w:cs="Tahoma"/>
          <w:color w:val="000000"/>
          <w:lang w:eastAsia="id-ID"/>
        </w:rPr>
        <w:t xml:space="preserve">. at the same time, </w:t>
      </w:r>
      <w:r w:rsidR="003235C4" w:rsidRPr="00F97264">
        <w:rPr>
          <w:rFonts w:ascii="Cambria" w:eastAsia="Times New Roman" w:hAnsi="Cambria" w:cs="Tahoma"/>
          <w:color w:val="000000"/>
          <w:lang w:eastAsia="id-ID"/>
        </w:rPr>
        <w:fldChar w:fldCharType="begin" w:fldLock="1"/>
      </w:r>
      <w:r w:rsidR="005F14A0" w:rsidRPr="00F97264">
        <w:rPr>
          <w:rFonts w:ascii="Cambria" w:eastAsia="Times New Roman" w:hAnsi="Cambria" w:cs="Tahoma"/>
          <w:color w:val="000000"/>
          <w:lang w:eastAsia="id-ID"/>
        </w:rPr>
        <w:instrText>ADDIN CSL_CITATION {"citationItems":[{"id":"ITEM-1","itemData":{"abstract":"Abstract-This study aims to examine and analyze the effect of Interest Rate, Economic Growth, Funding Growth, Capital Adequacy Ratio (CAR) and Non-Performing Loan (NPL) of Lending Growth Banks. Research data is annual data for 5 (five) years observation (December 2011 until December 2015). The sampling method used was purposive sampling. From a population of 40 Private Commercial Banks and Foreign National listed in Indonesia Stock Exchange (IDX), 30 Banks met the criteria to be the sample. The result showed that Economic Growth, Funding Growth and NPL are having positiveand significant influence to Lending Growth Banks. BI Rate and CAR are having positive influence but not significant to Lending Growth Banks. Economic Growth is the most significant variable in influencing Lending Growth Banks","author":[{"dropping-particle":"","family":"Yasnur","given":"Maulana","non-dropping-particle":"","parse-names":false,"suffix":""},{"dropping-particle":"","family":"Kurniasih","given":"Augustina","non-dropping-particle":"","parse-names":false,"suffix":""}],"container-title":"International Journal of Scientific and Research Publications","id":"ITEM-1","issue":"11","issued":{"date-parts":[["2017"]]},"page":"69-76","title":"Factors Affecting Bank Lending Growth : Cases In Indonesia","type":"article-journal","volume":"7"},"uris":["http://www.mendeley.com/documents/?uuid=7221cc1a-e2fe-4506-8b8b-0fedb3eddf1b"]}],"mendeley":{"formattedCitation":"(Yasnur &amp; Kurniasih, 2017)","manualFormatting":"Yasnur &amp; Kurniasih, (2017)","plainTextFormattedCitation":"(Yasnur &amp; Kurniasih, 2017)","previouslyFormattedCitation":"(Yasnur &amp; Kurniasih, 2017)"},"properties":{"noteIndex":0},"schema":"https://github.com/citation-style-language/schema/raw/master/csl-citation.json"}</w:instrText>
      </w:r>
      <w:r w:rsidR="003235C4" w:rsidRPr="00F97264">
        <w:rPr>
          <w:rFonts w:ascii="Cambria" w:eastAsia="Times New Roman" w:hAnsi="Cambria" w:cs="Tahoma"/>
          <w:color w:val="000000"/>
          <w:lang w:eastAsia="id-ID"/>
        </w:rPr>
        <w:fldChar w:fldCharType="separate"/>
      </w:r>
      <w:r w:rsidR="003235C4" w:rsidRPr="00F97264">
        <w:rPr>
          <w:rFonts w:ascii="Cambria" w:eastAsia="Times New Roman" w:hAnsi="Cambria" w:cs="Tahoma"/>
          <w:noProof/>
          <w:color w:val="000000"/>
          <w:lang w:eastAsia="id-ID"/>
        </w:rPr>
        <w:t>Yasnur &amp; Kurniasih's (2017)</w:t>
      </w:r>
      <w:r w:rsidR="003235C4" w:rsidRPr="00F97264">
        <w:rPr>
          <w:rFonts w:ascii="Cambria" w:eastAsia="Times New Roman" w:hAnsi="Cambria" w:cs="Tahoma"/>
          <w:color w:val="000000"/>
          <w:lang w:eastAsia="id-ID"/>
        </w:rPr>
        <w:fldChar w:fldCharType="end"/>
      </w:r>
      <w:r w:rsidR="003235C4" w:rsidRPr="00F97264">
        <w:rPr>
          <w:rFonts w:ascii="Cambria" w:eastAsia="Times New Roman" w:hAnsi="Cambria" w:cs="Tahoma"/>
          <w:color w:val="000000"/>
          <w:lang w:eastAsia="id-ID"/>
        </w:rPr>
        <w:t xml:space="preserve"> results showed a significant positive. In this result, the higher the NPF will reduce the growth of Islamic banking credit. If the number of non-performing loans at the bank is high, then you will lose the opportunity to obtain income from the Financing that has been distributed. Therefore, the risks that need to be considered by banks when channeling Financing to customers need to be screened for businesses owned because if continuous bad loans are not addressed, it will have an impact on reduced Islamic bank capital and a decrease in the volume of Financing disbursed. However, the impact of the change in NPF cannot be felt on the Financing channeled by Islamic banking in the short term, namely in lag 1, lag, or lag 3, but the impact can be felt in long-term Financing. Islamic banking must continue to see changes in NPF from short-term </w:t>
      </w:r>
      <w:r w:rsidR="003235C4" w:rsidRPr="00F97264">
        <w:rPr>
          <w:rFonts w:ascii="Cambria" w:eastAsia="Times New Roman" w:hAnsi="Cambria" w:cs="Tahoma"/>
          <w:color w:val="000000"/>
          <w:lang w:eastAsia="id-ID"/>
        </w:rPr>
        <w:lastRenderedPageBreak/>
        <w:t>data so that a decrease in long-term disbursed Financing can continue to be monitored and continue to make corrections.</w:t>
      </w:r>
    </w:p>
    <w:p w:rsidR="00776D75" w:rsidRPr="00F97264" w:rsidRDefault="00F35E8B" w:rsidP="00776D75">
      <w:pPr>
        <w:pStyle w:val="ListParagraph"/>
        <w:spacing w:after="0" w:line="360" w:lineRule="auto"/>
        <w:ind w:left="0" w:firstLine="709"/>
        <w:jc w:val="both"/>
        <w:rPr>
          <w:rFonts w:ascii="Cambria" w:eastAsia="Times New Roman" w:hAnsi="Cambria" w:cs="Tahoma"/>
          <w:color w:val="000000"/>
          <w:lang w:eastAsia="id-ID"/>
        </w:rPr>
      </w:pPr>
      <w:r w:rsidRPr="00F97264">
        <w:rPr>
          <w:rFonts w:ascii="Cambria" w:hAnsi="Cambria" w:cs="Tahoma"/>
          <w:color w:val="000000"/>
          <w:shd w:val="clear" w:color="auto" w:fill="FFFFFF"/>
        </w:rPr>
        <w:t>Return on Assets has a significant positive effect on Financing with a t-</w:t>
      </w:r>
      <w:proofErr w:type="spellStart"/>
      <w:r w:rsidRPr="00F97264">
        <w:rPr>
          <w:rFonts w:ascii="Cambria" w:hAnsi="Cambria" w:cs="Tahoma"/>
          <w:color w:val="000000"/>
          <w:shd w:val="clear" w:color="auto" w:fill="FFFFFF"/>
        </w:rPr>
        <w:t>statistic</w:t>
      </w:r>
      <w:proofErr w:type="spellEnd"/>
      <w:r w:rsidRPr="00F97264">
        <w:rPr>
          <w:rFonts w:ascii="Cambria" w:hAnsi="Cambria" w:cs="Tahoma"/>
          <w:color w:val="000000"/>
          <w:shd w:val="clear" w:color="auto" w:fill="FFFFFF"/>
        </w:rPr>
        <w:t xml:space="preserve"> significance value of </w:t>
      </w:r>
      <w:r w:rsidRPr="00F97264">
        <w:rPr>
          <w:rFonts w:ascii="Cambria" w:eastAsia="Times New Roman" w:hAnsi="Cambria" w:cs="Tahoma"/>
          <w:color w:val="000000"/>
          <w:lang w:eastAsia="id-ID"/>
        </w:rPr>
        <w:t xml:space="preserve">1.75814 &gt; t-table. From the results of this study, the authors found that there were many studies that had the same results, namely, the higher the ROA, the higher the Financing in Islamic banking. This is also supported by research conducted by </w:t>
      </w:r>
      <w:r w:rsidR="00BA2D3F" w:rsidRPr="00F97264">
        <w:rPr>
          <w:rFonts w:ascii="Cambria" w:eastAsia="Times New Roman" w:hAnsi="Cambria" w:cs="Tahoma"/>
          <w:color w:val="000000"/>
          <w:lang w:eastAsia="id-ID"/>
        </w:rPr>
        <w:fldChar w:fldCharType="begin" w:fldLock="1"/>
      </w:r>
      <w:r w:rsidR="00BA2D3F" w:rsidRPr="00F97264">
        <w:rPr>
          <w:rFonts w:ascii="Cambria" w:eastAsia="Times New Roman" w:hAnsi="Cambria" w:cs="Tahoma"/>
          <w:color w:val="000000"/>
          <w:lang w:eastAsia="id-ID"/>
        </w:rPr>
        <w:instrText>ADDIN CSL_CITATION {"citationItems":[{"id":"ITEM-1","itemData":{"abstract":"Murabaha financing is a type of financing that dominates the financing contract on Islamic banking in Indonesia. This shows that financing on the basis of sale (murabaha) has a greater contribution than the financing of the basis for the profit and loss sharing (mudraba and musaraka). The purpose of this study is to determine the factors that affect the financing of murabaha in the Islamic Commercial Banking in Indonesia by using variables Third Party Fund (DPK), Capital Adequacy Ratio (CAR), Financing to Deposit Ratio (FDR), Non-Performing Financing (NPF) and Return on Assets (ROA). The population in this study is the performance of Islamic Commercial Banks in Indonesia in the period of January 2014 to June 2016. The data used in this research is secondary data and sample selection by using purposive sampling method. The analytical tool used in this research is multiple linear regression analysis at significantly the rate of 5%. The results of this study indicate that the variable DPK, CAR, FDR, NPF, and ROA simultaneously have an influence on Murabaha. Coefficient determination test results show that the five independent variables affect the dependent variable amounted to 87.6% and the remaining 12.4% is influenced by other variables. Partially DPK, CAR, FDR, and ROA have a positive and significant effect on the financing Murabaha. While the NPF has no influence on Murabaha financing","author":[{"dropping-particle":"","family":"Husaeni","given":"Uus Ahmad","non-dropping-particle":"","parse-names":false,"suffix":""}],"container-title":"International Journal of Nusantara Islam","id":"ITEM-1","issue":"02","issued":{"date-parts":[["2016"]]},"page":"1-16","title":"The Variables Effects of Murabahah in Islamic Commercial Banks","type":"article-journal","volume":"04"},"uris":["http://www.mendeley.com/documents/?uuid=fd5164b7-8cae-41cc-b091-ce0d0262d052"]}],"mendeley":{"formattedCitation":"(Husaeni, 2016)","manualFormatting":"Husaeni (2016)","plainTextFormattedCitation":"(Husaeni, 2016)","previouslyFormattedCitation":"(Husaeni, 2016)"},"properties":{"noteIndex":0},"schema":"https://github.com/citation-style-language/schema/raw/master/csl-citation.json"}</w:instrText>
      </w:r>
      <w:r w:rsidR="00BA2D3F" w:rsidRPr="00F97264">
        <w:rPr>
          <w:rFonts w:ascii="Cambria" w:eastAsia="Times New Roman" w:hAnsi="Cambria" w:cs="Tahoma"/>
          <w:color w:val="000000"/>
          <w:lang w:eastAsia="id-ID"/>
        </w:rPr>
        <w:fldChar w:fldCharType="separate"/>
      </w:r>
      <w:r w:rsidR="00BA2D3F" w:rsidRPr="00F97264">
        <w:rPr>
          <w:rFonts w:ascii="Cambria" w:eastAsia="Times New Roman" w:hAnsi="Cambria" w:cs="Tahoma"/>
          <w:noProof/>
          <w:color w:val="000000"/>
          <w:lang w:eastAsia="id-ID"/>
        </w:rPr>
        <w:t xml:space="preserve">Husaeni (2016) </w:t>
      </w:r>
      <w:r w:rsidR="00BA2D3F" w:rsidRPr="00F97264">
        <w:rPr>
          <w:rFonts w:ascii="Cambria" w:eastAsia="Times New Roman" w:hAnsi="Cambria" w:cs="Tahoma"/>
          <w:color w:val="000000"/>
          <w:lang w:eastAsia="id-ID"/>
        </w:rPr>
        <w:fldChar w:fldCharType="end"/>
      </w:r>
      <w:r w:rsidR="00BA2D3F" w:rsidRPr="00F97264">
        <w:rPr>
          <w:rFonts w:ascii="Cambria" w:eastAsia="Times New Roman" w:hAnsi="Cambria" w:cs="Tahoma"/>
          <w:color w:val="000000"/>
          <w:lang w:eastAsia="id-ID"/>
        </w:rPr>
        <w:t xml:space="preserve">and </w:t>
      </w:r>
      <w:r w:rsidR="00BA2D3F" w:rsidRPr="00F97264">
        <w:rPr>
          <w:rFonts w:ascii="Cambria" w:eastAsia="Times New Roman" w:hAnsi="Cambria" w:cs="Tahoma"/>
          <w:color w:val="000000"/>
          <w:lang w:eastAsia="id-ID"/>
        </w:rPr>
        <w:fldChar w:fldCharType="begin" w:fldLock="1"/>
      </w:r>
      <w:r w:rsidR="000E4933" w:rsidRPr="00F97264">
        <w:rPr>
          <w:rFonts w:ascii="Cambria" w:eastAsia="Times New Roman" w:hAnsi="Cambria" w:cs="Tahoma"/>
          <w:color w:val="000000"/>
          <w:lang w:eastAsia="id-ID"/>
        </w:rPr>
        <w:instrText>ADDIN CSL_CITATION {"citationItems":[{"id":"ITEM-1","itemData":{"DOI":"10.29040/ijebar.v4i02.988","ISSN":"2622-4771","abstract":"Banks are financial institutions that collect and distribute funds in the forms of deposits such as savings, deposits, current accounts, etc. from and for people who need funds for various needs, such as for consumption, working capital or business capital, housing and investment. In addition, banks must help the community to improve their living standards by distributing funds or giving credit to people who need funds. This is in accordance with the function of the bank itself, namely the bank as the distributor of funds. The purpose of this research is to examine and obtain evidence about factors that influence loan distribution at a bank. Internal factors that influence loan distribution are Third Party Funds, Non-Performing Loans, and Profitability. Efforts to increase credit at banks require optimal efforts to raise third-party funds, good credit management, and capital strengthening. This type of research is quantitative research with purposive sampling technique. The population used in this study is commercial banks from 2013 to 2017. The data come from commercial bank financial statements. As the benefit of this research the government can use it as a mapping material for distributing loan to commercial banks; the bank management can take it into consideration in making commercial bank lending policies. The results of the research show that profitability can mediate the relationship between third party funds and non-performing loans on loan distribution. Third party funds have a significant positive effect on loan distribution. Non-Performing Loans have a significant negative effect on loan distribution. Keywords: LOAN DISTRIBUTION, THIRD PARTY FUNDS, NON-PERFORMING LOANS, AND PROFITABILITY","author":[{"dropping-particle":"","family":"Hermuningsih","given":"Sri","non-dropping-particle":"","parse-names":false,"suffix":""},{"dropping-particle":"","family":"Sari","given":"Pristin Prima","non-dropping-particle":"","parse-names":false,"suffix":""},{"dropping-particle":"","family":"Rahmawati","given":"Anisya Dewi","non-dropping-particle":"","parse-names":false,"suffix":""}],"container-title":"International Journal of Economics, Business and Accounting Research (IJEBAR)","id":"ITEM-1","issue":"02","issued":{"date-parts":[["2020"]]},"page":"40-50","title":"The Influence of Third-Party Funds, Non-Performing Loans (NPL) on Credit Distribution With Profitability As Intervening Variable in Commercial Banks","type":"article-journal","volume":"4"},"uris":["http://www.mendeley.com/documents/?uuid=b186a711-99e5-4b92-850c-3c53830007b7"]}],"mendeley":{"formattedCitation":"(Hermuningsih et al., 2020)","manualFormatting":"Hermuningsih et al., (2020)","plainTextFormattedCitation":"(Hermuningsih et al., 2020)","previouslyFormattedCitation":"(Hermuningsih et al., 2020)"},"properties":{"noteIndex":0},"schema":"https://github.com/citation-style-language/schema/raw/master/csl-citation.json"}</w:instrText>
      </w:r>
      <w:r w:rsidR="00BA2D3F" w:rsidRPr="00F97264">
        <w:rPr>
          <w:rFonts w:ascii="Cambria" w:eastAsia="Times New Roman" w:hAnsi="Cambria" w:cs="Tahoma"/>
          <w:color w:val="000000"/>
          <w:lang w:eastAsia="id-ID"/>
        </w:rPr>
        <w:fldChar w:fldCharType="separate"/>
      </w:r>
      <w:r w:rsidR="00BA2D3F" w:rsidRPr="00F97264">
        <w:rPr>
          <w:rFonts w:ascii="Cambria" w:eastAsia="Times New Roman" w:hAnsi="Cambria" w:cs="Tahoma"/>
          <w:noProof/>
          <w:color w:val="000000"/>
          <w:lang w:eastAsia="id-ID"/>
        </w:rPr>
        <w:t>Hermuningsih et al. (2020)</w:t>
      </w:r>
      <w:r w:rsidR="00BA2D3F" w:rsidRPr="00F97264">
        <w:rPr>
          <w:rFonts w:ascii="Cambria" w:eastAsia="Times New Roman" w:hAnsi="Cambria" w:cs="Tahoma"/>
          <w:color w:val="000000"/>
          <w:lang w:eastAsia="id-ID"/>
        </w:rPr>
        <w:fldChar w:fldCharType="end"/>
      </w:r>
      <w:r w:rsidR="00BA2D3F" w:rsidRPr="00F97264">
        <w:rPr>
          <w:rFonts w:ascii="Cambria" w:eastAsia="Times New Roman" w:hAnsi="Cambria" w:cs="Tahoma"/>
          <w:color w:val="000000"/>
          <w:lang w:eastAsia="id-ID"/>
        </w:rPr>
        <w:t xml:space="preserve">. ROA is a financial ratio that shows how profitable a company is in relation to its total assets. Company management, analysts, and investors can use ROA to determine how efficiently a company is using its assets to generate profits. A higher ROA </w:t>
      </w:r>
      <w:r w:rsidR="00873FBC" w:rsidRPr="00F97264">
        <w:rPr>
          <w:rFonts w:ascii="Cambria" w:eastAsia="Times New Roman" w:hAnsi="Cambria" w:cs="Tahoma"/>
          <w:color w:val="000000"/>
          <w:lang w:eastAsia="id-ID"/>
        </w:rPr>
        <w:t>is a positive signal, more efficient and productive in managing its balance sheet to generate profits. Therefore, the connection with Financing is that when the profit earned by the bank increases, the bank must maintain and also increase its profit through the volume of Financing.</w:t>
      </w:r>
    </w:p>
    <w:p w:rsidR="00953D55" w:rsidRPr="00F97264" w:rsidRDefault="00F35E8B" w:rsidP="00776D75">
      <w:pPr>
        <w:pStyle w:val="ListParagraph"/>
        <w:spacing w:after="0" w:line="360" w:lineRule="auto"/>
        <w:ind w:left="0" w:firstLine="709"/>
        <w:jc w:val="both"/>
        <w:rPr>
          <w:rFonts w:ascii="Cambria" w:eastAsia="Times New Roman" w:hAnsi="Cambria" w:cs="Tahoma"/>
          <w:color w:val="000000"/>
          <w:lang w:eastAsia="id-ID"/>
        </w:rPr>
      </w:pPr>
      <w:r w:rsidRPr="00F97264">
        <w:rPr>
          <w:rFonts w:ascii="Cambria" w:eastAsia="Times New Roman" w:hAnsi="Cambria" w:cs="Tahoma"/>
          <w:color w:val="000000"/>
          <w:lang w:eastAsia="id-ID"/>
        </w:rPr>
        <w:t xml:space="preserve">The same is true for short-term estimates. The results of the relationship between ROA and disbursed Financing have a significant effect on </w:t>
      </w:r>
      <w:proofErr w:type="spellStart"/>
      <w:r w:rsidRPr="00F97264">
        <w:rPr>
          <w:rFonts w:ascii="Cambria" w:eastAsia="Times New Roman" w:hAnsi="Cambria" w:cs="Tahoma"/>
          <w:color w:val="000000"/>
          <w:lang w:eastAsia="id-ID"/>
        </w:rPr>
        <w:t>lag</w:t>
      </w:r>
      <w:proofErr w:type="spellEnd"/>
      <w:r w:rsidRPr="00F97264">
        <w:rPr>
          <w:rFonts w:ascii="Cambria" w:eastAsia="Times New Roman" w:hAnsi="Cambria" w:cs="Tahoma"/>
          <w:color w:val="000000"/>
          <w:lang w:eastAsia="id-ID"/>
        </w:rPr>
        <w:t xml:space="preserve"> 1 and lag 3. Therefore, there is a close relationship between the profit generated by Islamic banking and the Financing distributed by Islamic banking. Thus, banks must maintain their profits at a positive level so that they can continue to increase the Financing extended to customers. The impact of Financing received by customers or the public contributes to the welfare and economy of a country </w:t>
      </w:r>
      <w:r w:rsidR="00E9137D" w:rsidRPr="00F97264">
        <w:rPr>
          <w:rFonts w:ascii="Cambria" w:eastAsia="Times New Roman" w:hAnsi="Cambria" w:cs="Tahoma"/>
          <w:color w:val="000000"/>
          <w:lang w:eastAsia="id-ID"/>
        </w:rPr>
        <w:fldChar w:fldCharType="begin" w:fldLock="1"/>
      </w:r>
      <w:r w:rsidR="00AF7EC1" w:rsidRPr="00F97264">
        <w:rPr>
          <w:rFonts w:ascii="Cambria" w:eastAsia="Times New Roman" w:hAnsi="Cambria" w:cs="Tahoma"/>
          <w:color w:val="000000"/>
          <w:lang w:eastAsia="id-ID"/>
        </w:rPr>
        <w:instrText>ADDIN CSL_CITATION {"citationItems":[{"id":"ITEM-1","itemData":{"DOI":"10.1016/s2212-5671(13)00109-3","ISSN":"22125671","abstract":"Is there a connection between credit and economic growth in the present economic context? Credit was one of the factors which triggered the global crisis, thus, in the present paper we attempt to show whether there is a connection between credit and economic growth, the economy being unable to develop in the absence of credit. With the aid of a statistic software we have tried to determine the supposed existence of a connection between the GDP, credits offered to public administration and credits offered to households. The results of the analysis show that credits offered to households contribute to a greater extent to the formation of the GDP than credits offered to public administration.","author":[{"dropping-particle":"","family":"Banu","given":"Ioana Mădălina","non-dropping-particle":"","parse-names":false,"suffix":""}],"container-title":"Procedia Economics and Finance","id":"ITEM-1","issue":"February 2007","issued":{"date-parts":[["2013"]]},"page":"25-30","title":"The Impact of Credit on Economic Growth in the Global Crisis Context","type":"article-journal","volume":"6"},"uris":["http://www.mendeley.com/documents/?uuid=504545cb-2e22-4928-9087-81daed0320d1"]}],"mendeley":{"formattedCitation":"(Banu, 2013)","plainTextFormattedCitation":"(Banu, 2013)","previouslyFormattedCitation":"(Banu, 2013)"},"properties":{"noteIndex":0},"schema":"https://github.com/citation-style-language/schema/raw/master/csl-citation.json"}</w:instrText>
      </w:r>
      <w:r w:rsidR="00E9137D" w:rsidRPr="00F97264">
        <w:rPr>
          <w:rFonts w:ascii="Cambria" w:eastAsia="Times New Roman" w:hAnsi="Cambria" w:cs="Tahoma"/>
          <w:color w:val="000000"/>
          <w:lang w:eastAsia="id-ID"/>
        </w:rPr>
        <w:fldChar w:fldCharType="separate"/>
      </w:r>
      <w:r w:rsidR="00E9137D" w:rsidRPr="00F97264">
        <w:rPr>
          <w:rFonts w:ascii="Cambria" w:eastAsia="Times New Roman" w:hAnsi="Cambria" w:cs="Tahoma"/>
          <w:noProof/>
          <w:color w:val="000000"/>
          <w:lang w:eastAsia="id-ID"/>
        </w:rPr>
        <w:t>(Banu, 2013)</w:t>
      </w:r>
      <w:r w:rsidR="00E9137D" w:rsidRPr="00F97264">
        <w:rPr>
          <w:rFonts w:ascii="Cambria" w:eastAsia="Times New Roman" w:hAnsi="Cambria" w:cs="Tahoma"/>
          <w:color w:val="000000"/>
          <w:lang w:eastAsia="id-ID"/>
        </w:rPr>
        <w:fldChar w:fldCharType="end"/>
      </w:r>
      <w:r w:rsidR="00E9137D" w:rsidRPr="00F97264">
        <w:rPr>
          <w:rFonts w:ascii="Cambria" w:eastAsia="Times New Roman" w:hAnsi="Cambria" w:cs="Tahoma"/>
          <w:color w:val="000000"/>
          <w:lang w:eastAsia="id-ID"/>
        </w:rPr>
        <w:t>.</w:t>
      </w:r>
    </w:p>
    <w:p w:rsidR="00776D75" w:rsidRPr="00F97264" w:rsidRDefault="00F35E8B" w:rsidP="00776D75">
      <w:pPr>
        <w:pStyle w:val="ListParagraph"/>
        <w:spacing w:after="0" w:line="360" w:lineRule="auto"/>
        <w:ind w:left="0" w:firstLine="709"/>
        <w:jc w:val="both"/>
        <w:rPr>
          <w:rFonts w:ascii="Cambria" w:eastAsia="Times New Roman" w:hAnsi="Cambria" w:cs="Tahoma"/>
          <w:color w:val="000000"/>
          <w:lang w:eastAsia="id-ID"/>
        </w:rPr>
      </w:pPr>
      <w:r w:rsidRPr="00F97264">
        <w:rPr>
          <w:rFonts w:ascii="Cambria" w:hAnsi="Cambria" w:cs="Tahoma"/>
          <w:color w:val="000000"/>
          <w:shd w:val="clear" w:color="auto" w:fill="FFFFFF"/>
        </w:rPr>
        <w:t>The t-</w:t>
      </w:r>
      <w:proofErr w:type="spellStart"/>
      <w:r w:rsidRPr="00F97264">
        <w:rPr>
          <w:rFonts w:ascii="Cambria" w:hAnsi="Cambria" w:cs="Tahoma"/>
          <w:color w:val="000000"/>
          <w:shd w:val="clear" w:color="auto" w:fill="FFFFFF"/>
        </w:rPr>
        <w:t>statistic</w:t>
      </w:r>
      <w:proofErr w:type="spellEnd"/>
      <w:r w:rsidRPr="00F97264">
        <w:rPr>
          <w:rFonts w:ascii="Cambria" w:hAnsi="Cambria" w:cs="Tahoma"/>
          <w:color w:val="000000"/>
          <w:shd w:val="clear" w:color="auto" w:fill="FFFFFF"/>
        </w:rPr>
        <w:t xml:space="preserve"> </w:t>
      </w:r>
      <w:r w:rsidRPr="00F97264">
        <w:rPr>
          <w:rFonts w:ascii="Cambria" w:eastAsia="Times New Roman" w:hAnsi="Cambria" w:cs="Tahoma"/>
          <w:color w:val="000000"/>
          <w:lang w:eastAsia="id-ID"/>
        </w:rPr>
        <w:t xml:space="preserve">significance value of -1.07474 &lt; t-table indicates that the profit sharing from investment using a </w:t>
      </w:r>
      <w:proofErr w:type="spellStart"/>
      <w:r w:rsidRPr="00F97264">
        <w:rPr>
          <w:rFonts w:ascii="Cambria" w:eastAsia="Times New Roman" w:hAnsi="Cambria" w:cs="Tahoma"/>
          <w:color w:val="000000"/>
          <w:lang w:eastAsia="id-ID"/>
        </w:rPr>
        <w:t>mudharabah</w:t>
      </w:r>
      <w:proofErr w:type="spellEnd"/>
      <w:r w:rsidRPr="00F97264">
        <w:rPr>
          <w:rFonts w:ascii="Cambria" w:eastAsia="Times New Roman" w:hAnsi="Cambria" w:cs="Tahoma"/>
          <w:color w:val="000000"/>
          <w:lang w:eastAsia="id-ID"/>
        </w:rPr>
        <w:t xml:space="preserve"> contract does not change significantly, so there is no effect on disbursed Financing by banking. In addition, in this study, the dependent variable used is a combination of Financing from various contracts, not financing based on </w:t>
      </w:r>
      <w:proofErr w:type="spellStart"/>
      <w:r w:rsidRPr="00F97264">
        <w:rPr>
          <w:rFonts w:ascii="Cambria" w:eastAsia="Times New Roman" w:hAnsi="Cambria" w:cs="Tahoma"/>
          <w:color w:val="000000"/>
          <w:lang w:eastAsia="id-ID"/>
        </w:rPr>
        <w:t>mudharabah</w:t>
      </w:r>
      <w:proofErr w:type="spellEnd"/>
      <w:r w:rsidRPr="00F97264">
        <w:rPr>
          <w:rFonts w:ascii="Cambria" w:eastAsia="Times New Roman" w:hAnsi="Cambria" w:cs="Tahoma"/>
          <w:color w:val="000000"/>
          <w:lang w:eastAsia="id-ID"/>
        </w:rPr>
        <w:t xml:space="preserve"> contracts. Thus, it is possible that there is no significant effect. Based on data on Islamic banking statistics, the most widely used Financing is </w:t>
      </w:r>
      <w:proofErr w:type="gramStart"/>
      <w:r w:rsidRPr="00F97264">
        <w:rPr>
          <w:rFonts w:ascii="Cambria" w:eastAsia="Times New Roman" w:hAnsi="Cambria" w:cs="Tahoma"/>
          <w:color w:val="000000"/>
          <w:lang w:eastAsia="id-ID"/>
        </w:rPr>
        <w:t>Financing</w:t>
      </w:r>
      <w:proofErr w:type="gramEnd"/>
      <w:r w:rsidRPr="00F97264">
        <w:rPr>
          <w:rFonts w:ascii="Cambria" w:eastAsia="Times New Roman" w:hAnsi="Cambria" w:cs="Tahoma"/>
          <w:color w:val="000000"/>
          <w:lang w:eastAsia="id-ID"/>
        </w:rPr>
        <w:t xml:space="preserve"> with a </w:t>
      </w:r>
      <w:proofErr w:type="spellStart"/>
      <w:r w:rsidRPr="00F97264">
        <w:rPr>
          <w:rFonts w:ascii="Cambria" w:eastAsia="Times New Roman" w:hAnsi="Cambria" w:cs="Tahoma"/>
          <w:color w:val="000000"/>
          <w:lang w:eastAsia="id-ID"/>
        </w:rPr>
        <w:t>murabaha</w:t>
      </w:r>
      <w:proofErr w:type="spellEnd"/>
      <w:r w:rsidRPr="00F97264">
        <w:rPr>
          <w:rFonts w:ascii="Cambria" w:eastAsia="Times New Roman" w:hAnsi="Cambria" w:cs="Tahoma"/>
          <w:color w:val="000000"/>
          <w:lang w:eastAsia="id-ID"/>
        </w:rPr>
        <w:t xml:space="preserve"> contract. Therefore, the size of the rate of return for investors does not affect </w:t>
      </w:r>
      <w:r w:rsidR="006F3030" w:rsidRPr="00F97264">
        <w:rPr>
          <w:rFonts w:ascii="Cambria" w:eastAsia="Times New Roman" w:hAnsi="Cambria" w:cs="Tahoma"/>
          <w:color w:val="000000"/>
          <w:lang w:eastAsia="id-ID"/>
        </w:rPr>
        <w:t xml:space="preserve">Financing. This </w:t>
      </w:r>
      <w:r w:rsidR="000E4933" w:rsidRPr="00F97264">
        <w:rPr>
          <w:rFonts w:ascii="Cambria" w:eastAsia="Times New Roman" w:hAnsi="Cambria" w:cs="Tahoma"/>
          <w:color w:val="000000"/>
          <w:lang w:eastAsia="id-ID"/>
        </w:rPr>
        <w:t xml:space="preserve">is not in line with the results of research conducted by </w:t>
      </w:r>
      <w:r w:rsidR="000E4933" w:rsidRPr="00F97264">
        <w:rPr>
          <w:rFonts w:ascii="Cambria" w:eastAsia="Times New Roman" w:hAnsi="Cambria" w:cs="Tahoma"/>
          <w:color w:val="000000"/>
          <w:lang w:eastAsia="id-ID"/>
        </w:rPr>
        <w:fldChar w:fldCharType="begin" w:fldLock="1"/>
      </w:r>
      <w:r w:rsidR="00654B98" w:rsidRPr="00F97264">
        <w:rPr>
          <w:rFonts w:ascii="Cambria" w:eastAsia="Times New Roman" w:hAnsi="Cambria" w:cs="Tahoma"/>
          <w:color w:val="000000"/>
          <w:lang w:eastAsia="id-ID"/>
        </w:rPr>
        <w:instrText>ADDIN CSL_CITATION {"citationItems":[{"id":"ITEM-1","itemData":{"ISBN":"9781317920908","abstract":"This book explores the relationship between problem analysis, leadership, decision making, and change. It contains many problem scenarios, case studies, and vignettes.","author":[{"dropping-particle":"","family":"Kurniawanti","given":"Agustina","non-dropping-particle":"","parse-names":false,"suffix":""}],"container-title":"Seminar Nasional Program Studi Akuntansi FEB-UMS","id":"ITEM-1","issue":"1","issued":{"date-parts":[["2014"]]},"page":"1-24","title":"Analysis of the Factors Influencing the Volume of Profit-Sharing-Based Financing in Islamic Commercial Banks in Indonesia.","type":"article-journal","volume":"39"},"uris":["http://www.mendeley.com/documents/?uuid=03521073-8b37-4b27-9171-9341932941ee"]}],"mendeley":{"formattedCitation":"(Kurniawanti, 2014)","manualFormatting":"Kurniawanti (2014)","plainTextFormattedCitation":"(Kurniawanti, 2014)","previouslyFormattedCitation":"(Kurniawanti, 2014)"},"properties":{"noteIndex":0},"schema":"https://github.com/citation-style-language/schema/raw/master/csl-citation.json"}</w:instrText>
      </w:r>
      <w:r w:rsidR="000E4933" w:rsidRPr="00F97264">
        <w:rPr>
          <w:rFonts w:ascii="Cambria" w:eastAsia="Times New Roman" w:hAnsi="Cambria" w:cs="Tahoma"/>
          <w:color w:val="000000"/>
          <w:lang w:eastAsia="id-ID"/>
        </w:rPr>
        <w:fldChar w:fldCharType="separate"/>
      </w:r>
      <w:r w:rsidR="000E4933" w:rsidRPr="00F97264">
        <w:rPr>
          <w:rFonts w:ascii="Cambria" w:eastAsia="Times New Roman" w:hAnsi="Cambria" w:cs="Tahoma"/>
          <w:noProof/>
          <w:color w:val="000000"/>
          <w:lang w:eastAsia="id-ID"/>
        </w:rPr>
        <w:t>Kurniawanti (2014)</w:t>
      </w:r>
      <w:r w:rsidR="000E4933" w:rsidRPr="00F97264">
        <w:rPr>
          <w:rFonts w:ascii="Cambria" w:eastAsia="Times New Roman" w:hAnsi="Cambria" w:cs="Tahoma"/>
          <w:color w:val="000000"/>
          <w:lang w:eastAsia="id-ID"/>
        </w:rPr>
        <w:fldChar w:fldCharType="end"/>
      </w:r>
      <w:r w:rsidR="00B829E2" w:rsidRPr="00F97264">
        <w:rPr>
          <w:rFonts w:ascii="Cambria" w:eastAsia="Times New Roman" w:hAnsi="Cambria" w:cs="Tahoma"/>
          <w:color w:val="000000"/>
          <w:lang w:eastAsia="id-ID"/>
        </w:rPr>
        <w:t>.</w:t>
      </w:r>
    </w:p>
    <w:p w:rsidR="009F4806" w:rsidRPr="00F97264" w:rsidRDefault="00F35E8B" w:rsidP="00776D75">
      <w:pPr>
        <w:pStyle w:val="ListParagraph"/>
        <w:spacing w:after="0" w:line="360" w:lineRule="auto"/>
        <w:ind w:left="0" w:firstLine="709"/>
        <w:jc w:val="both"/>
        <w:rPr>
          <w:rFonts w:ascii="Cambria" w:eastAsia="Times New Roman" w:hAnsi="Cambria" w:cs="Tahoma"/>
          <w:color w:val="000000"/>
          <w:lang w:eastAsia="id-ID"/>
        </w:rPr>
      </w:pPr>
      <w:r w:rsidRPr="00F97264">
        <w:rPr>
          <w:rFonts w:ascii="Cambria" w:eastAsia="Times New Roman" w:hAnsi="Cambria" w:cs="Tahoma"/>
          <w:color w:val="000000"/>
          <w:lang w:eastAsia="id-ID"/>
        </w:rPr>
        <w:t xml:space="preserve">In short-term relationships, only the Equivalent rate of </w:t>
      </w:r>
      <w:proofErr w:type="spellStart"/>
      <w:r w:rsidRPr="00F97264">
        <w:rPr>
          <w:rFonts w:ascii="Cambria" w:eastAsia="Times New Roman" w:hAnsi="Cambria" w:cs="Tahoma"/>
          <w:color w:val="000000"/>
          <w:lang w:eastAsia="id-ID"/>
        </w:rPr>
        <w:t>Mudharabah</w:t>
      </w:r>
      <w:proofErr w:type="spellEnd"/>
      <w:r w:rsidRPr="00F97264">
        <w:rPr>
          <w:rFonts w:ascii="Cambria" w:eastAsia="Times New Roman" w:hAnsi="Cambria" w:cs="Tahoma"/>
          <w:color w:val="000000"/>
          <w:lang w:eastAsia="id-ID"/>
        </w:rPr>
        <w:t xml:space="preserve"> in lag 1 has an effect on disbursed Financing, </w:t>
      </w:r>
      <w:proofErr w:type="spellStart"/>
      <w:r w:rsidRPr="00F97264">
        <w:rPr>
          <w:rFonts w:ascii="Cambria" w:eastAsia="Times New Roman" w:hAnsi="Cambria" w:cs="Tahoma"/>
          <w:color w:val="000000"/>
          <w:lang w:eastAsia="id-ID"/>
        </w:rPr>
        <w:t>mudharabah</w:t>
      </w:r>
      <w:proofErr w:type="spellEnd"/>
      <w:r w:rsidRPr="00F97264">
        <w:rPr>
          <w:rFonts w:ascii="Cambria" w:eastAsia="Times New Roman" w:hAnsi="Cambria" w:cs="Tahoma"/>
          <w:color w:val="000000"/>
          <w:lang w:eastAsia="id-ID"/>
        </w:rPr>
        <w:t xml:space="preserve"> profit sharing for lag 1 investors is influential, it is possible for investors to see the size of the profit sharing set by Islamic banks, but the impact is only on lag 1 .</w:t>
      </w:r>
    </w:p>
    <w:p w:rsidR="00776D75" w:rsidRPr="00F97264" w:rsidRDefault="00F35E8B" w:rsidP="00776D75">
      <w:pPr>
        <w:pStyle w:val="ListParagraph"/>
        <w:spacing w:after="0" w:line="360" w:lineRule="auto"/>
        <w:ind w:left="0" w:firstLine="709"/>
        <w:jc w:val="both"/>
        <w:rPr>
          <w:rFonts w:ascii="Cambria" w:eastAsia="Times New Roman" w:hAnsi="Cambria" w:cs="Tahoma"/>
          <w:color w:val="000000"/>
          <w:lang w:eastAsia="id-ID"/>
        </w:rPr>
      </w:pPr>
      <w:r w:rsidRPr="00F97264">
        <w:rPr>
          <w:rFonts w:ascii="Cambria" w:eastAsia="Times New Roman" w:hAnsi="Cambria" w:cs="Tahoma"/>
          <w:color w:val="000000"/>
          <w:lang w:eastAsia="id-ID"/>
        </w:rPr>
        <w:t xml:space="preserve">The equivalent rate of </w:t>
      </w:r>
      <w:proofErr w:type="spellStart"/>
      <w:r w:rsidRPr="00F97264">
        <w:rPr>
          <w:rFonts w:ascii="Cambria" w:eastAsia="Times New Roman" w:hAnsi="Cambria" w:cs="Tahoma"/>
          <w:color w:val="000000"/>
          <w:lang w:eastAsia="id-ID"/>
        </w:rPr>
        <w:t>Musyarakah</w:t>
      </w:r>
      <w:proofErr w:type="spellEnd"/>
      <w:r w:rsidRPr="00F97264">
        <w:rPr>
          <w:rFonts w:ascii="Cambria" w:eastAsia="Times New Roman" w:hAnsi="Cambria" w:cs="Tahoma"/>
          <w:color w:val="000000"/>
          <w:lang w:eastAsia="id-ID"/>
        </w:rPr>
        <w:t xml:space="preserve"> has a significant positive effect on Financing </w:t>
      </w:r>
      <w:r w:rsidRPr="00F97264">
        <w:rPr>
          <w:rFonts w:ascii="Cambria" w:hAnsi="Cambria" w:cs="Tahoma"/>
          <w:color w:val="000000"/>
          <w:shd w:val="clear" w:color="auto" w:fill="FFFFFF"/>
        </w:rPr>
        <w:t>with a t-</w:t>
      </w:r>
      <w:proofErr w:type="spellStart"/>
      <w:r w:rsidRPr="00F97264">
        <w:rPr>
          <w:rFonts w:ascii="Cambria" w:hAnsi="Cambria" w:cs="Tahoma"/>
          <w:color w:val="000000"/>
          <w:shd w:val="clear" w:color="auto" w:fill="FFFFFF"/>
        </w:rPr>
        <w:t>statistic</w:t>
      </w:r>
      <w:proofErr w:type="spellEnd"/>
      <w:r w:rsidRPr="00F97264">
        <w:rPr>
          <w:rFonts w:ascii="Cambria" w:hAnsi="Cambria" w:cs="Tahoma"/>
          <w:color w:val="000000"/>
          <w:shd w:val="clear" w:color="auto" w:fill="FFFFFF"/>
        </w:rPr>
        <w:t xml:space="preserve"> significance value of </w:t>
      </w:r>
      <w:r w:rsidRPr="00F97264">
        <w:rPr>
          <w:rFonts w:ascii="Cambria" w:eastAsia="Times New Roman" w:hAnsi="Cambria" w:cs="Tahoma"/>
          <w:color w:val="000000"/>
          <w:lang w:eastAsia="id-ID"/>
        </w:rPr>
        <w:t xml:space="preserve">2.77136 &gt; t-table. In contrast to the results of the </w:t>
      </w:r>
      <w:proofErr w:type="spellStart"/>
      <w:r w:rsidRPr="00F97264">
        <w:rPr>
          <w:rFonts w:ascii="Cambria" w:eastAsia="Times New Roman" w:hAnsi="Cambria" w:cs="Tahoma"/>
          <w:color w:val="000000"/>
          <w:lang w:eastAsia="id-ID"/>
        </w:rPr>
        <w:t>mudharabah</w:t>
      </w:r>
      <w:proofErr w:type="spellEnd"/>
      <w:r w:rsidRPr="00F97264">
        <w:rPr>
          <w:rFonts w:ascii="Cambria" w:eastAsia="Times New Roman" w:hAnsi="Cambria" w:cs="Tahoma"/>
          <w:color w:val="000000"/>
          <w:lang w:eastAsia="id-ID"/>
        </w:rPr>
        <w:t xml:space="preserve"> rate of return on Financing, where the equivalent rate of </w:t>
      </w:r>
      <w:proofErr w:type="spellStart"/>
      <w:r w:rsidRPr="00F97264">
        <w:rPr>
          <w:rFonts w:ascii="Cambria" w:eastAsia="Times New Roman" w:hAnsi="Cambria" w:cs="Tahoma"/>
          <w:color w:val="000000"/>
          <w:lang w:eastAsia="id-ID"/>
        </w:rPr>
        <w:t>musyarakah</w:t>
      </w:r>
      <w:proofErr w:type="spellEnd"/>
      <w:r w:rsidRPr="00F97264">
        <w:rPr>
          <w:rFonts w:ascii="Cambria" w:eastAsia="Times New Roman" w:hAnsi="Cambria" w:cs="Tahoma"/>
          <w:color w:val="000000"/>
          <w:lang w:eastAsia="id-ID"/>
        </w:rPr>
        <w:t xml:space="preserve"> has a </w:t>
      </w:r>
      <w:r w:rsidRPr="00F97264">
        <w:rPr>
          <w:rFonts w:ascii="Cambria" w:eastAsia="Times New Roman" w:hAnsi="Cambria" w:cs="Tahoma"/>
          <w:color w:val="000000"/>
          <w:lang w:eastAsia="id-ID"/>
        </w:rPr>
        <w:lastRenderedPageBreak/>
        <w:t xml:space="preserve">significant positive effect on disbursed Financing. The high equivalent rate of </w:t>
      </w:r>
      <w:proofErr w:type="spellStart"/>
      <w:r w:rsidRPr="00F97264">
        <w:rPr>
          <w:rFonts w:ascii="Cambria" w:eastAsia="Times New Roman" w:hAnsi="Cambria" w:cs="Tahoma"/>
          <w:color w:val="000000"/>
          <w:lang w:eastAsia="id-ID"/>
        </w:rPr>
        <w:t>musyarakah</w:t>
      </w:r>
      <w:proofErr w:type="spellEnd"/>
      <w:r w:rsidRPr="00F97264">
        <w:rPr>
          <w:rFonts w:ascii="Cambria" w:eastAsia="Times New Roman" w:hAnsi="Cambria" w:cs="Tahoma"/>
          <w:color w:val="000000"/>
          <w:lang w:eastAsia="id-ID"/>
        </w:rPr>
        <w:t xml:space="preserve"> will attract investors to invest their funds in banking with </w:t>
      </w:r>
      <w:proofErr w:type="spellStart"/>
      <w:r w:rsidRPr="00F97264">
        <w:rPr>
          <w:rFonts w:ascii="Cambria" w:eastAsia="Times New Roman" w:hAnsi="Cambria" w:cs="Tahoma"/>
          <w:color w:val="000000"/>
          <w:lang w:eastAsia="id-ID"/>
        </w:rPr>
        <w:t>musyarakah</w:t>
      </w:r>
      <w:proofErr w:type="spellEnd"/>
      <w:r w:rsidRPr="00F97264">
        <w:rPr>
          <w:rFonts w:ascii="Cambria" w:eastAsia="Times New Roman" w:hAnsi="Cambria" w:cs="Tahoma"/>
          <w:color w:val="000000"/>
          <w:lang w:eastAsia="id-ID"/>
        </w:rPr>
        <w:t xml:space="preserve"> contracts. Thus, it will increase the Financing disbursed by banks. Based on Islamic banking statistical data, where </w:t>
      </w:r>
      <w:proofErr w:type="gramStart"/>
      <w:r w:rsidRPr="00F97264">
        <w:rPr>
          <w:rFonts w:ascii="Cambria" w:eastAsia="Times New Roman" w:hAnsi="Cambria" w:cs="Tahoma"/>
          <w:color w:val="000000"/>
          <w:lang w:eastAsia="id-ID"/>
        </w:rPr>
        <w:t>Financing</w:t>
      </w:r>
      <w:proofErr w:type="gramEnd"/>
      <w:r w:rsidRPr="00F97264">
        <w:rPr>
          <w:rFonts w:ascii="Cambria" w:eastAsia="Times New Roman" w:hAnsi="Cambria" w:cs="Tahoma"/>
          <w:color w:val="000000"/>
          <w:lang w:eastAsia="id-ID"/>
        </w:rPr>
        <w:t xml:space="preserve"> with a </w:t>
      </w:r>
      <w:proofErr w:type="spellStart"/>
      <w:r w:rsidRPr="00F97264">
        <w:rPr>
          <w:rFonts w:ascii="Cambria" w:eastAsia="Times New Roman" w:hAnsi="Cambria" w:cs="Tahoma"/>
          <w:color w:val="000000"/>
          <w:lang w:eastAsia="id-ID"/>
        </w:rPr>
        <w:t>musyarakah</w:t>
      </w:r>
      <w:proofErr w:type="spellEnd"/>
      <w:r w:rsidRPr="00F97264">
        <w:rPr>
          <w:rFonts w:ascii="Cambria" w:eastAsia="Times New Roman" w:hAnsi="Cambria" w:cs="Tahoma"/>
          <w:color w:val="000000"/>
          <w:lang w:eastAsia="id-ID"/>
        </w:rPr>
        <w:t xml:space="preserve"> contract is the second largest Financing after Financing with a </w:t>
      </w:r>
      <w:proofErr w:type="spellStart"/>
      <w:r w:rsidRPr="00F97264">
        <w:rPr>
          <w:rFonts w:ascii="Cambria" w:eastAsia="Times New Roman" w:hAnsi="Cambria" w:cs="Tahoma"/>
          <w:color w:val="000000"/>
          <w:lang w:eastAsia="id-ID"/>
        </w:rPr>
        <w:t>murabaha</w:t>
      </w:r>
      <w:proofErr w:type="spellEnd"/>
      <w:r w:rsidRPr="00F97264">
        <w:rPr>
          <w:rFonts w:ascii="Cambria" w:eastAsia="Times New Roman" w:hAnsi="Cambria" w:cs="Tahoma"/>
          <w:color w:val="000000"/>
          <w:lang w:eastAsia="id-ID"/>
        </w:rPr>
        <w:t xml:space="preserve"> contract. The results of this study are in line with </w:t>
      </w:r>
      <w:r w:rsidR="00B829E2" w:rsidRPr="00F97264">
        <w:rPr>
          <w:rFonts w:ascii="Cambria" w:eastAsia="Times New Roman" w:hAnsi="Cambria" w:cs="Tahoma"/>
          <w:color w:val="000000"/>
          <w:lang w:eastAsia="id-ID"/>
        </w:rPr>
        <w:fldChar w:fldCharType="begin" w:fldLock="1"/>
      </w:r>
      <w:r w:rsidR="00654B98" w:rsidRPr="00F97264">
        <w:rPr>
          <w:rFonts w:ascii="Cambria" w:eastAsia="Times New Roman" w:hAnsi="Cambria" w:cs="Tahoma"/>
          <w:color w:val="000000"/>
          <w:lang w:eastAsia="id-ID"/>
        </w:rPr>
        <w:instrText>ADDIN CSL_CITATION {"citationItems":[{"id":"ITEM-1","itemData":{"ISBN":"9781119130536","abstract":"This study aims to determine the effect of profit sharing rates on deposits to third party funds and financing mudharabah sharia banks partially or simultaneously. The approach used is a quantitative approach by using the pathway analysis technique with three variables, namely the profit-sharing rate of deposits as ecogenous variable. Population in this study is the sharia bank industry registered in the statistics of Islamic banking published by the website of the Bank Indonesia. The sample used in this study as many as 60 samples with data from January 2012 until December 2016. Data collection is done by collecting financial statements of the sharia bank industry monthly period 2012-2016. Keywords:","author":[{"dropping-particle":"","family":"Setiyoaji","given":"","non-dropping-particle":"","parse-names":false,"suffix":""},{"dropping-particle":"","family":"Mawardi","given":"Imron","non-dropping-particle":"","parse-names":false,"suffix":""}],"container-title":"Journal of Theory and Applied Sharia Economics","id":"ITEM-1","issue":"5","issued":{"date-parts":[["2019"]]},"page":"957-967","title":"LEVEL OF DEPOSIT RETURN SHARING THROUGH INTERVENING VARIABLES OF THIRD PARTY FUNDS ON MUDHARABAH FINANCING OF SHARIA BANK.","type":"article-journal","volume":"6"},"uris":["http://www.mendeley.com/documents/?uuid=4e08fff4-6218-4bcc-b700-d4bf9209cf79"]}],"mendeley":{"formattedCitation":"(Setiyoaji &amp; Mawardi, 2019)","manualFormatting":"Setiyoaji &amp; Mawardi (2019)","plainTextFormattedCitation":"(Setiyoaji &amp; Mawardi, 2019)","previouslyFormattedCitation":"(Setiyoaji &amp; Mawardi, 2019)"},"properties":{"noteIndex":0},"schema":"https://github.com/citation-style-language/schema/raw/master/csl-citation.json"}</w:instrText>
      </w:r>
      <w:r w:rsidR="00B829E2" w:rsidRPr="00F97264">
        <w:rPr>
          <w:rFonts w:ascii="Cambria" w:eastAsia="Times New Roman" w:hAnsi="Cambria" w:cs="Tahoma"/>
          <w:color w:val="000000"/>
          <w:lang w:eastAsia="id-ID"/>
        </w:rPr>
        <w:fldChar w:fldCharType="separate"/>
      </w:r>
      <w:r w:rsidR="00B829E2" w:rsidRPr="00F97264">
        <w:rPr>
          <w:rFonts w:ascii="Cambria" w:eastAsia="Times New Roman" w:hAnsi="Cambria" w:cs="Tahoma"/>
          <w:noProof/>
          <w:color w:val="000000"/>
          <w:lang w:eastAsia="id-ID"/>
        </w:rPr>
        <w:t>Setiyoaji &amp; Mawardi (2019)</w:t>
      </w:r>
      <w:r w:rsidR="00B829E2" w:rsidRPr="00F97264">
        <w:rPr>
          <w:rFonts w:ascii="Cambria" w:eastAsia="Times New Roman" w:hAnsi="Cambria" w:cs="Tahoma"/>
          <w:color w:val="000000"/>
          <w:lang w:eastAsia="id-ID"/>
        </w:rPr>
        <w:fldChar w:fldCharType="end"/>
      </w:r>
      <w:r w:rsidR="00B829E2" w:rsidRPr="00F97264">
        <w:rPr>
          <w:rFonts w:ascii="Cambria" w:eastAsia="Times New Roman" w:hAnsi="Cambria" w:cs="Tahoma"/>
          <w:color w:val="000000"/>
          <w:lang w:eastAsia="id-ID"/>
        </w:rPr>
        <w:t xml:space="preserve">, </w:t>
      </w:r>
      <w:r w:rsidR="00B829E2" w:rsidRPr="00F97264">
        <w:rPr>
          <w:rFonts w:ascii="Cambria" w:eastAsia="Times New Roman" w:hAnsi="Cambria" w:cs="Tahoma"/>
          <w:color w:val="000000"/>
          <w:lang w:eastAsia="id-ID"/>
        </w:rPr>
        <w:fldChar w:fldCharType="begin" w:fldLock="1"/>
      </w:r>
      <w:r w:rsidR="00654B98" w:rsidRPr="00F97264">
        <w:rPr>
          <w:rFonts w:ascii="Cambria" w:eastAsia="Times New Roman" w:hAnsi="Cambria" w:cs="Tahoma"/>
          <w:color w:val="000000"/>
          <w:lang w:eastAsia="id-ID"/>
        </w:rPr>
        <w:instrText>ADDIN CSL_CITATION {"citationItems":[{"id":"ITEM-1","itemData":{"ISBN":"9781317920908","abstract":"This book explores the relationship between problem analysis, leadership, decision making, and change. It contains many problem scenarios, case studies, and vignettes.","author":[{"dropping-particle":"","family":"Kurniawanti","given":"Agustina","non-dropping-particle":"","parse-names":false,"suffix":""}],"container-title":"Seminar Nasional Program Studi Akuntansi FEB-UMS","id":"ITEM-1","issue":"1","issued":{"date-parts":[["2014"]]},"page":"1-24","title":"Analysis of the Factors Influencing the Volume of Profit-Sharing-Based Financing in Islamic Commercial Banks in Indonesia.","type":"article-journal","volume":"39"},"uris":["http://www.mendeley.com/documents/?uuid=03521073-8b37-4b27-9171-9341932941ee"]}],"mendeley":{"formattedCitation":"(Kurniawanti, 2014)","manualFormatting":"Kurniawanti (2014)","plainTextFormattedCitation":"(Kurniawanti, 2014)","previouslyFormattedCitation":"(Kurniawanti, 2014)"},"properties":{"noteIndex":0},"schema":"https://github.com/citation-style-language/schema/raw/master/csl-citation.json"}</w:instrText>
      </w:r>
      <w:r w:rsidR="00B829E2" w:rsidRPr="00F97264">
        <w:rPr>
          <w:rFonts w:ascii="Cambria" w:eastAsia="Times New Roman" w:hAnsi="Cambria" w:cs="Tahoma"/>
          <w:color w:val="000000"/>
          <w:lang w:eastAsia="id-ID"/>
        </w:rPr>
        <w:fldChar w:fldCharType="separate"/>
      </w:r>
      <w:r w:rsidR="00B829E2" w:rsidRPr="00F97264">
        <w:rPr>
          <w:rFonts w:ascii="Cambria" w:eastAsia="Times New Roman" w:hAnsi="Cambria" w:cs="Tahoma"/>
          <w:noProof/>
          <w:color w:val="000000"/>
          <w:lang w:eastAsia="id-ID"/>
        </w:rPr>
        <w:t>Kurniawanti (2014)</w:t>
      </w:r>
      <w:r w:rsidR="00B829E2" w:rsidRPr="00F97264">
        <w:rPr>
          <w:rFonts w:ascii="Cambria" w:eastAsia="Times New Roman" w:hAnsi="Cambria" w:cs="Tahoma"/>
          <w:color w:val="000000"/>
          <w:lang w:eastAsia="id-ID"/>
        </w:rPr>
        <w:fldChar w:fldCharType="end"/>
      </w:r>
      <w:r w:rsidR="00B829E2" w:rsidRPr="00F97264">
        <w:rPr>
          <w:rFonts w:ascii="Cambria" w:eastAsia="Times New Roman" w:hAnsi="Cambria" w:cs="Tahoma"/>
          <w:color w:val="000000"/>
          <w:lang w:eastAsia="id-ID"/>
        </w:rPr>
        <w:t xml:space="preserve">, </w:t>
      </w:r>
      <w:r w:rsidR="00B829E2" w:rsidRPr="00F97264">
        <w:rPr>
          <w:rFonts w:ascii="Cambria" w:eastAsia="Times New Roman" w:hAnsi="Cambria" w:cs="Tahoma"/>
          <w:color w:val="000000"/>
          <w:lang w:eastAsia="id-ID"/>
        </w:rPr>
        <w:fldChar w:fldCharType="begin" w:fldLock="1"/>
      </w:r>
      <w:r w:rsidR="0070149F" w:rsidRPr="00F97264">
        <w:rPr>
          <w:rFonts w:ascii="Cambria" w:eastAsia="Times New Roman" w:hAnsi="Cambria" w:cs="Tahoma"/>
          <w:color w:val="000000"/>
          <w:lang w:eastAsia="id-ID"/>
        </w:rPr>
        <w:instrText>ADDIN CSL_CITATION {"citationItems":[{"id":"ITEM-1","itemData":{"ISBN":"9781450340366","abstract":"The objective of this study is to analyze factors that influencing volume of profit and loss sharing based- financing in sharia banking in Indonesia during 2006-2010. Analysis method used is Partial Least Square (PLS), the results show that depositors’ funds and also profit and loss sharing level have positive and significant influence toward volume of profit and loss sharing based-financing, while non performing financing doesn’t have significant influence","author":[{"dropping-particle":"","family":"Andraeny","given":"Dita","non-dropping-particle":"","parse-names":false,"suffix":""}],"container-title":"Simposium Nasional Akuntansi Xiv Aceh 2011","id":"ITEM-1","issued":{"date-parts":[["2011"]]},"page":"1-25","title":"Analysis of the Influence of Third Party Funds, Profit Sharing Levels and Non-Performing Financing on the Volume of Profit Sharing-based Financing in Islamic Banking in Indonesia","type":"article-journal"},"uris":["http://www.mendeley.com/documents/?uuid=7978a93d-4dfb-4171-85ce-cffdbd5a9df9"]}],"mendeley":{"formattedCitation":"(Andraeny, 2011)","manualFormatting":"Andraeny (2011)","plainTextFormattedCitation":"(Andraeny, 2011)","previouslyFormattedCitation":"(Andraeny, 2011)"},"properties":{"noteIndex":0},"schema":"https://github.com/citation-style-language/schema/raw/master/csl-citation.json"}</w:instrText>
      </w:r>
      <w:r w:rsidR="00B829E2" w:rsidRPr="00F97264">
        <w:rPr>
          <w:rFonts w:ascii="Cambria" w:eastAsia="Times New Roman" w:hAnsi="Cambria" w:cs="Tahoma"/>
          <w:color w:val="000000"/>
          <w:lang w:eastAsia="id-ID"/>
        </w:rPr>
        <w:fldChar w:fldCharType="separate"/>
      </w:r>
      <w:r w:rsidR="00B829E2" w:rsidRPr="00F97264">
        <w:rPr>
          <w:rFonts w:ascii="Cambria" w:eastAsia="Times New Roman" w:hAnsi="Cambria" w:cs="Tahoma"/>
          <w:noProof/>
          <w:color w:val="000000"/>
          <w:lang w:eastAsia="id-ID"/>
        </w:rPr>
        <w:t>Andraeny (2011)</w:t>
      </w:r>
      <w:r w:rsidR="00B829E2" w:rsidRPr="00F97264">
        <w:rPr>
          <w:rFonts w:ascii="Cambria" w:eastAsia="Times New Roman" w:hAnsi="Cambria" w:cs="Tahoma"/>
          <w:color w:val="000000"/>
          <w:lang w:eastAsia="id-ID"/>
        </w:rPr>
        <w:fldChar w:fldCharType="end"/>
      </w:r>
      <w:r w:rsidR="00B829E2" w:rsidRPr="00F97264">
        <w:rPr>
          <w:rFonts w:ascii="Cambria" w:eastAsia="Times New Roman" w:hAnsi="Cambria" w:cs="Tahoma"/>
          <w:color w:val="000000"/>
          <w:lang w:eastAsia="id-ID"/>
        </w:rPr>
        <w:t xml:space="preserve">. However, the results are different in short-term relationships where the equivalent rate of </w:t>
      </w:r>
      <w:proofErr w:type="spellStart"/>
      <w:r w:rsidR="00B829E2" w:rsidRPr="00F97264">
        <w:rPr>
          <w:rFonts w:ascii="Cambria" w:eastAsia="Times New Roman" w:hAnsi="Cambria" w:cs="Tahoma"/>
          <w:color w:val="000000"/>
          <w:lang w:eastAsia="id-ID"/>
        </w:rPr>
        <w:t>musyarakah</w:t>
      </w:r>
      <w:proofErr w:type="spellEnd"/>
      <w:r w:rsidR="00B829E2" w:rsidRPr="00F97264">
        <w:rPr>
          <w:rFonts w:ascii="Cambria" w:eastAsia="Times New Roman" w:hAnsi="Cambria" w:cs="Tahoma"/>
          <w:color w:val="000000"/>
          <w:lang w:eastAsia="id-ID"/>
        </w:rPr>
        <w:t xml:space="preserve"> has no effect on lag 1, lag 2, and lag 3.</w:t>
      </w:r>
    </w:p>
    <w:p w:rsidR="00776D75" w:rsidRPr="00F97264" w:rsidRDefault="00F35E8B" w:rsidP="00776D75">
      <w:pPr>
        <w:pStyle w:val="ListParagraph"/>
        <w:spacing w:after="0" w:line="360" w:lineRule="auto"/>
        <w:ind w:left="0" w:firstLine="709"/>
        <w:jc w:val="both"/>
        <w:rPr>
          <w:rFonts w:ascii="Cambria" w:eastAsia="Times New Roman" w:hAnsi="Cambria" w:cs="Tahoma"/>
          <w:color w:val="000000"/>
          <w:lang w:eastAsia="id-ID"/>
        </w:rPr>
      </w:pPr>
      <w:r w:rsidRPr="00F97264">
        <w:rPr>
          <w:rFonts w:ascii="Cambria" w:eastAsia="Times New Roman" w:hAnsi="Cambria" w:cs="Tahoma"/>
          <w:color w:val="000000"/>
          <w:lang w:eastAsia="id-ID"/>
        </w:rPr>
        <w:t xml:space="preserve">The BI rate has a significant positive effect on Financing with a </w:t>
      </w:r>
      <w:r w:rsidRPr="00F97264">
        <w:rPr>
          <w:rFonts w:ascii="Cambria" w:hAnsi="Cambria" w:cs="Tahoma"/>
          <w:color w:val="000000"/>
          <w:shd w:val="clear" w:color="auto" w:fill="FFFFFF"/>
        </w:rPr>
        <w:t>t-</w:t>
      </w:r>
      <w:proofErr w:type="spellStart"/>
      <w:r w:rsidRPr="00F97264">
        <w:rPr>
          <w:rFonts w:ascii="Cambria" w:hAnsi="Cambria" w:cs="Tahoma"/>
          <w:color w:val="000000"/>
          <w:shd w:val="clear" w:color="auto" w:fill="FFFFFF"/>
        </w:rPr>
        <w:t>statistic</w:t>
      </w:r>
      <w:proofErr w:type="spellEnd"/>
      <w:r w:rsidRPr="00F97264">
        <w:rPr>
          <w:rFonts w:ascii="Cambria" w:hAnsi="Cambria" w:cs="Tahoma"/>
          <w:color w:val="000000"/>
          <w:shd w:val="clear" w:color="auto" w:fill="FFFFFF"/>
        </w:rPr>
        <w:t xml:space="preserve"> significance value of </w:t>
      </w:r>
      <w:r w:rsidRPr="00F97264">
        <w:rPr>
          <w:rFonts w:ascii="Cambria" w:eastAsia="Times New Roman" w:hAnsi="Cambria" w:cs="Tahoma"/>
          <w:color w:val="000000"/>
          <w:lang w:eastAsia="id-ID"/>
        </w:rPr>
        <w:t xml:space="preserve">10.8021. The BI rate policy is one of the government's ways of responding to the problem of high and uncontrollable Inflation, thus triggering the government to monitor the circulation of money in society, especially in relation to banking, where banking is one of the institutions that influence this, namely conducting fundraising. And distribute funds to the community. With the results obtained, where when the BI rate rises, the Financing </w:t>
      </w:r>
      <w:r w:rsidR="00116507" w:rsidRPr="00F97264">
        <w:rPr>
          <w:rFonts w:ascii="Cambria" w:eastAsia="Times New Roman" w:hAnsi="Cambria" w:cs="Tahoma"/>
          <w:color w:val="000000"/>
          <w:lang w:eastAsia="id-ID"/>
        </w:rPr>
        <w:t xml:space="preserve">carried out by Islamic banking also increases. This is made possible as a result of rising Inflation, where prices continue to rise, and the cost of materials or other needs also increases. Therefore, people need an injection of funds to deal with this increase. </w:t>
      </w:r>
      <w:proofErr w:type="spellStart"/>
      <w:r w:rsidR="00B25E16" w:rsidRPr="00F97264">
        <w:rPr>
          <w:rFonts w:ascii="Cambria" w:eastAsia="Times New Roman" w:hAnsi="Cambria" w:cs="Tahoma"/>
          <w:color w:val="000000"/>
          <w:lang w:eastAsia="id-ID"/>
        </w:rPr>
        <w:t>ti</w:t>
      </w:r>
      <w:proofErr w:type="spellEnd"/>
      <w:r w:rsidR="00B25E16" w:rsidRPr="00F97264">
        <w:rPr>
          <w:rFonts w:ascii="Cambria" w:eastAsia="Times New Roman" w:hAnsi="Cambria" w:cs="Tahoma"/>
          <w:color w:val="000000"/>
          <w:lang w:eastAsia="id-ID"/>
        </w:rPr>
        <w:t xml:space="preserve"> </w:t>
      </w:r>
      <w:r w:rsidR="00AD350E" w:rsidRPr="00F97264">
        <w:rPr>
          <w:rFonts w:ascii="Cambria" w:eastAsia="Times New Roman" w:hAnsi="Cambria" w:cs="Tahoma"/>
          <w:color w:val="000000"/>
          <w:lang w:eastAsia="id-ID"/>
        </w:rPr>
        <w:fldChar w:fldCharType="begin" w:fldLock="1"/>
      </w:r>
      <w:r w:rsidR="00AD350E" w:rsidRPr="00F97264">
        <w:rPr>
          <w:rFonts w:ascii="Cambria" w:eastAsia="Times New Roman" w:hAnsi="Cambria" w:cs="Tahoma"/>
          <w:color w:val="000000"/>
          <w:lang w:eastAsia="id-ID"/>
        </w:rPr>
        <w:instrText>ADDIN CSL_CITATION {"citationItems":[{"id":"ITEM-1","itemData":{"DOI":"10.2991/assehr.k.210531.064","abstract":"This study intends to analyze the effect of the level of nonperforming loans (NPL) on the lending behavior of banks in Indonesia. This study also seeks to understand whether other variables, such as bank capitalization and bank market power, influence the relationship between NPLs and lending behavior at banks in Indonesia. The macroeconomic factors that is accommodated is the Indonesian economic cycle. This study uses data from commercial banks that run conventional bank businesses in Indonesia and operated from 2007 to 2017. The factors that determine the level of credit growth in Indonesia are deposit growth, the ratio of nonperforming loans in the previous year, the bank capital adequacy ratio, Gross Domestic Product (GDP), real growth, and the Indonesian benchmark interest rate. The effect of credit risk, which can be represented by the ratio of bank’s nonperforming loans to the credit that it provides is smaller if the bank has high market power. The credit growth provided by banks in the BUKU IV category was more unaffected by the previous year’s bad credit ratio compared with other bank categories. Banks owned by the government and banks owned by non-government exhibited no differences in lending behavior. Big banks’ lending behavior is also not different from that of other banks.","author":[{"dropping-particle":"","family":"Jessica","given":"Theresa","non-dropping-particle":"","parse-names":false,"suffix":""},{"dropping-particle":"","family":"Chalid","given":"Dony Abdul","non-dropping-particle":"","parse-names":false,"suffix":""}],"container-title":"Proceedings of the Asia-Pacific Research in Social Sciences and Humanities Universitas Indonesia Conference (APRISH 2019)","id":"ITEM-1","issue":"Aprish 2019","issued":{"date-parts":[["2021"]]},"page":"505-512","title":"Determinants of Bank Loans in Indonesia","type":"article-journal","volume":"558"},"uris":["http://www.mendeley.com/documents/?uuid=3f43672d-9e93-43c1-b9c1-db7115990e56"]}],"mendeley":{"formattedCitation":"(Jessica &amp; Chalid, 2021)","manualFormatting":"Jessica &amp; Chalid (2021)","plainTextFormattedCitation":"(Jessica &amp; Chalid, 2021)","previouslyFormattedCitation":"(Jessica &amp; Chalid, 2021)"},"properties":{"noteIndex":0},"schema":"https://github.com/citation-style-language/schema/raw/master/csl-citation.json"}</w:instrText>
      </w:r>
      <w:r w:rsidR="00AD350E" w:rsidRPr="00F97264">
        <w:rPr>
          <w:rFonts w:ascii="Cambria" w:eastAsia="Times New Roman" w:hAnsi="Cambria" w:cs="Tahoma"/>
          <w:color w:val="000000"/>
          <w:lang w:eastAsia="id-ID"/>
        </w:rPr>
        <w:fldChar w:fldCharType="separate"/>
      </w:r>
      <w:r w:rsidR="00AD350E" w:rsidRPr="00F97264">
        <w:rPr>
          <w:rFonts w:ascii="Cambria" w:eastAsia="Times New Roman" w:hAnsi="Cambria" w:cs="Tahoma"/>
          <w:noProof/>
          <w:color w:val="000000"/>
          <w:lang w:eastAsia="id-ID"/>
        </w:rPr>
        <w:t>Jessica &amp; Chalid (2021)</w:t>
      </w:r>
      <w:r w:rsidR="00AD350E" w:rsidRPr="00F97264">
        <w:rPr>
          <w:rFonts w:ascii="Cambria" w:eastAsia="Times New Roman" w:hAnsi="Cambria" w:cs="Tahoma"/>
          <w:color w:val="000000"/>
          <w:lang w:eastAsia="id-ID"/>
        </w:rPr>
        <w:fldChar w:fldCharType="end"/>
      </w:r>
      <w:r w:rsidR="00AF7EC1" w:rsidRPr="00F97264">
        <w:rPr>
          <w:rFonts w:ascii="Cambria" w:eastAsia="Times New Roman" w:hAnsi="Cambria" w:cs="Tahoma"/>
          <w:color w:val="000000"/>
          <w:lang w:eastAsia="id-ID"/>
        </w:rPr>
        <w:t xml:space="preserve">, </w:t>
      </w:r>
      <w:r w:rsidR="00AF7EC1" w:rsidRPr="00F97264">
        <w:rPr>
          <w:rFonts w:ascii="Cambria" w:eastAsia="Times New Roman" w:hAnsi="Cambria" w:cs="Tahoma"/>
          <w:color w:val="000000"/>
          <w:lang w:eastAsia="id-ID"/>
        </w:rPr>
        <w:fldChar w:fldCharType="begin" w:fldLock="1"/>
      </w:r>
      <w:r w:rsidR="006032A2" w:rsidRPr="00F97264">
        <w:rPr>
          <w:rFonts w:ascii="Cambria" w:eastAsia="Times New Roman" w:hAnsi="Cambria" w:cs="Tahoma"/>
          <w:color w:val="000000"/>
          <w:lang w:eastAsia="id-ID"/>
        </w:rPr>
        <w:instrText>ADDIN CSL_CITATION {"citationItems":[{"id":"ITEM-1","itemData":{"abstract":"… The purpose of this study was to examine the effect of inflation and interest rates on Indonesian banks on the ability of the public to save money in a bank that is a state-owned enterprise. This research was conducted at a state-owned bank in the city of Denpasar-Bali. This …","author":[{"dropping-particle":"","family":"Jayawarsa","given":"AA Ketut","non-dropping-particle":"","parse-names":false,"suffix":""},{"dropping-particle":"","family":"Wulandari","given":"I Gusti Ayu Athina","non-dropping-particle":"","parse-names":false,"suffix":""},{"dropping-particle":"","family":"Saputra","given":"Komang Adi Kurniawan","non-dropping-particle":"","parse-names":false,"suffix":""},{"dropping-particle":"","family":"Saputri","given":"Ni Made Mareta Dewi","non-dropping-particle":"","parse-names":false,"suffix":""}],"container-title":"International Journal of Business, Economics and Law","id":"ITEM-1","issue":"1","issued":{"date-parts":[["2021"]]},"page":"105-112","title":"Public financial deposits in state owned banks: from an inflation perspective and bank indonesia interest rates","type":"article-journal","volume":"24"},"uris":["http://www.mendeley.com/documents/?uuid=089226c3-a46e-486b-9f73-f577cfd2c16c"]}],"mendeley":{"formattedCitation":"(Jayawarsa et al., 2021)","plainTextFormattedCitation":"(Jayawarsa et al., 2021)","previouslyFormattedCitation":"(Jayawarsa et al., 2021)"},"properties":{"noteIndex":0},"schema":"https://github.com/citation-style-language/schema/raw/master/csl-citation.json"}</w:instrText>
      </w:r>
      <w:r w:rsidR="00AF7EC1" w:rsidRPr="00F97264">
        <w:rPr>
          <w:rFonts w:ascii="Cambria" w:eastAsia="Times New Roman" w:hAnsi="Cambria" w:cs="Tahoma"/>
          <w:color w:val="000000"/>
          <w:lang w:eastAsia="id-ID"/>
        </w:rPr>
        <w:fldChar w:fldCharType="separate"/>
      </w:r>
      <w:r w:rsidR="00AF7EC1" w:rsidRPr="00F97264">
        <w:rPr>
          <w:rFonts w:ascii="Cambria" w:eastAsia="Times New Roman" w:hAnsi="Cambria" w:cs="Tahoma"/>
          <w:noProof/>
          <w:color w:val="000000"/>
          <w:lang w:eastAsia="id-ID"/>
        </w:rPr>
        <w:t>(Jayawarsa et al., 2021)</w:t>
      </w:r>
      <w:r w:rsidR="00AF7EC1" w:rsidRPr="00F97264">
        <w:rPr>
          <w:rFonts w:ascii="Cambria" w:eastAsia="Times New Roman" w:hAnsi="Cambria" w:cs="Tahoma"/>
          <w:color w:val="000000"/>
          <w:lang w:eastAsia="id-ID"/>
        </w:rPr>
        <w:fldChar w:fldCharType="end"/>
      </w:r>
      <w:r w:rsidR="006032A2" w:rsidRPr="00F97264">
        <w:rPr>
          <w:rFonts w:ascii="Cambria" w:eastAsia="Times New Roman" w:hAnsi="Cambria" w:cs="Tahoma"/>
          <w:color w:val="000000"/>
          <w:lang w:eastAsia="id-ID"/>
        </w:rPr>
        <w:t xml:space="preserve">, the results of the BI rate affect the Financing distributed by banks to customers, researchers conducted insignificant results </w:t>
      </w:r>
      <w:r w:rsidR="00AD350E" w:rsidRPr="00F97264">
        <w:rPr>
          <w:rFonts w:ascii="Cambria" w:eastAsia="Times New Roman" w:hAnsi="Cambria" w:cs="Tahoma"/>
          <w:color w:val="000000"/>
          <w:lang w:eastAsia="id-ID"/>
        </w:rPr>
        <w:fldChar w:fldCharType="begin" w:fldLock="1"/>
      </w:r>
      <w:r w:rsidR="009C112E" w:rsidRPr="00F97264">
        <w:rPr>
          <w:rFonts w:ascii="Cambria" w:eastAsia="Times New Roman" w:hAnsi="Cambria" w:cs="Tahoma"/>
          <w:color w:val="000000"/>
          <w:lang w:eastAsia="id-ID"/>
        </w:rPr>
        <w:instrText>ADDIN CSL_CITATION {"citationItems":[{"id":"ITEM-1","itemData":{"abstract":"Abstract-This study aims to examine and analyze the effect of Interest Rate, Economic Growth, Funding Growth, Capital Adequacy Ratio (CAR) and Non-Performing Loan (NPL) of Lending Growth Banks. Research data is annual data for 5 (five) years observation (December 2011 until December 2015). The sampling method used was purposive sampling. From a population of 40 Private Commercial Banks and Foreign National listed in Indonesia Stock Exchange (IDX), 30 Banks met the criteria to be the sample. The result showed that Economic Growth, Funding Growth and NPL are having positiveand significant influence to Lending Growth Banks. BI Rate and CAR are having positive influence but not significant to Lending Growth Banks. Economic Growth is the most significant variable in influencing Lending Growth Banks","author":[{"dropping-particle":"","family":"Yasnur","given":"Maulana","non-dropping-particle":"","parse-names":false,"suffix":""},{"dropping-particle":"","family":"Kurniasih","given":"Augustina","non-dropping-particle":"","parse-names":false,"suffix":""}],"container-title":"International Journal of Scientific and Research Publications","id":"ITEM-1","issue":"11","issued":{"date-parts":[["2017"]]},"page":"69-76","title":"Factors Affecting Bank Lending Growth : Cases In Indonesia","type":"article-journal","volume":"7"},"uris":["http://www.mendeley.com/documents/?uuid=7221cc1a-e2fe-4506-8b8b-0fedb3eddf1b"]}],"mendeley":{"formattedCitation":"(Yasnur &amp; Kurniasih, 2017)","plainTextFormattedCitation":"(Yasnur &amp; Kurniasih, 2017)","previouslyFormattedCitation":"(Yasnur &amp; Kurniasih, 2017)"},"properties":{"noteIndex":0},"schema":"https://github.com/citation-style-language/schema/raw/master/csl-citation.json"}</w:instrText>
      </w:r>
      <w:r w:rsidR="00AD350E" w:rsidRPr="00F97264">
        <w:rPr>
          <w:rFonts w:ascii="Cambria" w:eastAsia="Times New Roman" w:hAnsi="Cambria" w:cs="Tahoma"/>
          <w:color w:val="000000"/>
          <w:lang w:eastAsia="id-ID"/>
        </w:rPr>
        <w:fldChar w:fldCharType="separate"/>
      </w:r>
      <w:r w:rsidR="00AD350E" w:rsidRPr="00F97264">
        <w:rPr>
          <w:rFonts w:ascii="Cambria" w:eastAsia="Times New Roman" w:hAnsi="Cambria" w:cs="Tahoma"/>
          <w:noProof/>
          <w:color w:val="000000"/>
          <w:lang w:eastAsia="id-ID"/>
        </w:rPr>
        <w:t>(Yasnur &amp; Kurniasih, 2017)</w:t>
      </w:r>
      <w:r w:rsidR="00AD350E" w:rsidRPr="00F97264">
        <w:rPr>
          <w:rFonts w:ascii="Cambria" w:eastAsia="Times New Roman" w:hAnsi="Cambria" w:cs="Tahoma"/>
          <w:color w:val="000000"/>
          <w:lang w:eastAsia="id-ID"/>
        </w:rPr>
        <w:fldChar w:fldCharType="end"/>
      </w:r>
      <w:r w:rsidR="009C112E" w:rsidRPr="00F97264">
        <w:rPr>
          <w:rFonts w:ascii="Cambria" w:eastAsia="Times New Roman" w:hAnsi="Cambria" w:cs="Tahoma"/>
          <w:color w:val="000000"/>
          <w:lang w:eastAsia="id-ID"/>
        </w:rPr>
        <w:t xml:space="preserve"> </w:t>
      </w:r>
      <w:r w:rsidR="009C112E" w:rsidRPr="00F97264">
        <w:rPr>
          <w:rFonts w:ascii="Cambria" w:eastAsia="Times New Roman" w:hAnsi="Cambria" w:cs="Tahoma"/>
          <w:color w:val="000000"/>
          <w:lang w:eastAsia="id-ID"/>
        </w:rPr>
        <w:fldChar w:fldCharType="begin" w:fldLock="1"/>
      </w:r>
      <w:r w:rsidR="0059408D" w:rsidRPr="00F97264">
        <w:rPr>
          <w:rFonts w:ascii="Cambria" w:eastAsia="Times New Roman" w:hAnsi="Cambria" w:cs="Tahoma"/>
          <w:color w:val="000000"/>
          <w:lang w:eastAsia="id-ID"/>
        </w:rPr>
        <w:instrText>ADDIN CSL_CITATION {"citationItems":[{"id":"ITEM-1","itemData":{"DOI":"10.5923/j.ajms.20170704.06","abstract":"It occurs quite often in economic data to find variables describing a specific phenomenon which are censored from right side or left side. When the data has to be censored from left side at censored point equal to zero, the Tobit regression model represents the most appropriate model to use. In this paper, we study the determinants of bank loans value, which is one of the main banking services provided by banks in any country. They are considered the most important banking activity, allowing the bank to achieve an appropriate profit with small risks. These loans aim to finance short term needs for covering expenses, or financing investment projects that allow the development of institutions. The study aimed to apply Tobit regression model and Ordinary least squares method in order to reveal the most important factors affecting loans provided by Iraqi banks and the best method to estimate data .It was found that liquidity and loan repayment affect the Iraqi Bank Loans, while the effects of interest rate and borrowers were not statistically significant. The results from Tobit and OLS estimations shows that bias can result when estimating Iraqi bank loans using OLS if bank loans are restricted.","author":[{"dropping-particle":"","family":"Odah","given":"Meshal Harbi","non-dropping-particle":"","parse-names":false,"suffix":""},{"dropping-particle":"","family":"Sadig","given":"Ali","non-dropping-particle":"","parse-names":false,"suffix":""},{"dropping-particle":"","family":"Bager","given":"Mohommed","non-dropping-particle":"","parse-names":false,"suffix":""},{"dropping-particle":"","family":"Mohammed","given":"Bahr Kadhim","non-dropping-particle":"","parse-names":false,"suffix":""}],"container-title":"American Journal of Mathematics and Statistics","id":"ITEM-1","issue":"4","issued":{"date-parts":[["2017"]]},"page":"179-182","title":"Tobit Regression Analysis Applied on Iraqi Bank Loans","type":"article-journal","volume":"7"},"uris":["http://www.mendeley.com/documents/?uuid=10846930-ed50-4c8a-b5d0-2d18539ee59f"]}],"mendeley":{"formattedCitation":"(Odah et al., 2017)","plainTextFormattedCitation":"(Odah et al., 2017)","previouslyFormattedCitation":"(Odah et al., 2017)"},"properties":{"noteIndex":0},"schema":"https://github.com/citation-style-language/schema/raw/master/csl-citation.json"}</w:instrText>
      </w:r>
      <w:r w:rsidR="009C112E" w:rsidRPr="00F97264">
        <w:rPr>
          <w:rFonts w:ascii="Cambria" w:eastAsia="Times New Roman" w:hAnsi="Cambria" w:cs="Tahoma"/>
          <w:color w:val="000000"/>
          <w:lang w:eastAsia="id-ID"/>
        </w:rPr>
        <w:fldChar w:fldCharType="separate"/>
      </w:r>
      <w:r w:rsidR="009C112E" w:rsidRPr="00F97264">
        <w:rPr>
          <w:rFonts w:ascii="Cambria" w:eastAsia="Times New Roman" w:hAnsi="Cambria" w:cs="Tahoma"/>
          <w:noProof/>
          <w:color w:val="000000"/>
          <w:lang w:eastAsia="id-ID"/>
        </w:rPr>
        <w:t xml:space="preserve">(Odah et al., 2017) </w:t>
      </w:r>
      <w:r w:rsidR="009C112E" w:rsidRPr="00F97264">
        <w:rPr>
          <w:rFonts w:ascii="Cambria" w:eastAsia="Times New Roman" w:hAnsi="Cambria" w:cs="Tahoma"/>
          <w:color w:val="000000"/>
          <w:lang w:eastAsia="id-ID"/>
        </w:rPr>
        <w:fldChar w:fldCharType="end"/>
      </w:r>
      <w:r w:rsidR="00116507" w:rsidRPr="00F97264">
        <w:rPr>
          <w:rFonts w:ascii="Cambria" w:eastAsia="Times New Roman" w:hAnsi="Cambria" w:cs="Tahoma"/>
          <w:color w:val="000000"/>
          <w:lang w:eastAsia="id-ID"/>
        </w:rPr>
        <w:t>The BI rate does not affect credit, wherein the short-term estimates that have been tested in this study also result that the BI rate does not affect Financing extended by Islamic banking.</w:t>
      </w:r>
    </w:p>
    <w:p w:rsidR="008D271B" w:rsidRPr="00F97264" w:rsidRDefault="00F35E8B" w:rsidP="00776D75">
      <w:pPr>
        <w:pStyle w:val="ListParagraph"/>
        <w:spacing w:after="0" w:line="360" w:lineRule="auto"/>
        <w:ind w:left="0" w:firstLine="709"/>
        <w:jc w:val="both"/>
        <w:rPr>
          <w:rFonts w:ascii="Cambria" w:hAnsi="Cambria" w:cs="Tahoma"/>
        </w:rPr>
      </w:pPr>
      <w:r w:rsidRPr="00F97264">
        <w:rPr>
          <w:rFonts w:ascii="Cambria" w:eastAsia="Times New Roman" w:hAnsi="Cambria" w:cs="Tahoma"/>
          <w:color w:val="000000"/>
          <w:lang w:eastAsia="id-ID"/>
        </w:rPr>
        <w:t xml:space="preserve">Inflation has a </w:t>
      </w:r>
      <w:r w:rsidRPr="00F97264">
        <w:rPr>
          <w:rFonts w:ascii="Cambria" w:hAnsi="Cambria" w:cs="Tahoma"/>
          <w:color w:val="000000"/>
          <w:shd w:val="clear" w:color="auto" w:fill="FFFFFF"/>
        </w:rPr>
        <w:t xml:space="preserve">significant negative effect on Financing with a significant t-statistic value of </w:t>
      </w:r>
      <w:r w:rsidRPr="00F97264">
        <w:rPr>
          <w:rFonts w:ascii="Cambria" w:eastAsia="Times New Roman" w:hAnsi="Cambria" w:cs="Tahoma"/>
          <w:color w:val="000000"/>
          <w:lang w:eastAsia="id-ID"/>
        </w:rPr>
        <w:t xml:space="preserve">-1.77724 on long-term relationships and also has a significant effect on short-term relationships only at lag 3, meaning that an increase in Inflation has an impact on a decrease in Financing distributed by Islamic banking to customers. Inflation is a problem that always exists in every country and can happen at any time. Thus, it is necessary to have direct control from the government through the Indonesian central bank with regard to the BI rate policy. Therefore the control carried out by the government when Inflation is high is by suppressing the rising BI rate. So that when there is an increase in Inflation, there will be policies related to the BI rate, which will also increase, so it will have an impact on customers who delay applying for Financing. The results were carried out by </w:t>
      </w:r>
      <w:r w:rsidR="006032A2" w:rsidRPr="00F97264">
        <w:rPr>
          <w:rFonts w:ascii="Cambria" w:eastAsia="Times New Roman" w:hAnsi="Cambria" w:cs="Tahoma"/>
          <w:color w:val="000000"/>
          <w:lang w:eastAsia="id-ID"/>
        </w:rPr>
        <w:fldChar w:fldCharType="begin" w:fldLock="1"/>
      </w:r>
      <w:r w:rsidR="000445D2" w:rsidRPr="00F97264">
        <w:rPr>
          <w:rFonts w:ascii="Cambria" w:eastAsia="Times New Roman" w:hAnsi="Cambria" w:cs="Tahoma"/>
          <w:color w:val="000000"/>
          <w:lang w:eastAsia="id-ID"/>
        </w:rPr>
        <w:instrText>ADDIN CSL_CITATION {"citationItems":[{"id":"ITEM-1","itemData":{"DOI":"10.52403/ijrr.20220758","ISSN":"2454-2237","abstract":"Macroeconomics in Indonesia is a system for analyzing changes in the country's economy that can affect markets, companies and society. Macroeconomics can also explain the shape of changes in economic conditions in Indonesia. The formulation of the problem in this study are: (1) Does the inflation rate, interest rate and exchange rate have a partial effect on Non Performing Loans at PT. Bank SUMUT; (2) Does Non-Performing Loan affect credit growth at PT. Bank SUMUT; (3) Does the inflation rate, interest rate and exchange rate have a partial effect on Non Performing Loans through credit growth at PT. Bank SUMUT. The type of research used in this study is a causal research method using a quantitative approach, using quantitative data carried out by classical assumption tests, multiple regression analysis, and path analysis using Eviews 10. The results show that (1) Inflation and interest rates have a positive and significant effect on Non-Performing Loans, this indicates that the higher the inflation rate and interest rates, the higher the Non-Performing Loans, while the Rupiah exchange rate has a positive but not significant effect. to Non Performing Loans, this shows that the higher the Rupiah exchange rate does not affect the Non Performing Loans; (2) Credit growth has a negative and significant effect on Non-Performing Loans, this indicates that the higher the credit growth, the lower the Non-Performing Loans; (3) The inflation rate and interest rates have a significant effect on credit growth and credit growth also has a significant effect on Non Performing Loans, so this shows that credit growth can mediate the relationship between inflation rates and interest rates on Non Performing Loans, while the exchange rate Rupiah has no effect on credit growth but credit growth has a significant effect on Non-Performing Loans, so this shows that credit growth cannot mediate the relationship between the Rupiah exchange rate and Non- Performing Loans. Keywords: Inflation Rate, Interest Rate, Rupiah Exchange Rate, Credit Growth, Non-Performing Loans..","author":[{"dropping-particle":"","family":"Tanjung","given":"Oppie Meisya","non-dropping-particle":"","parse-names":false,"suffix":""},{"dropping-particle":"","family":"Sadalia","given":"Isfenti","non-dropping-particle":"","parse-names":false,"suffix":""},{"dropping-particle":"","family":"Irawati","given":"Nisrul","non-dropping-particle":"","parse-names":false,"suffix":""}],"container-title":"International Journal of Research and Review","id":"ITEM-1","issue":"7","issued":{"date-parts":[["2022"]]},"page":"535-549","title":"The Effect of Macroeconomics on Non-Performing Loans with Credit Growth as an Intervening Variable at PT. Bank SUMUT","type":"article-journal","volume":"9"},"uris":["http://www.mendeley.com/documents/?uuid=ce995f47-c56e-4b92-883c-6a1fbe6da13e"]}],"mendeley":{"formattedCitation":"(Tanjung et al., 2022)","manualFormatting":"Tanjung et al., (2022)","plainTextFormattedCitation":"(Tanjung et al., 2022)","previouslyFormattedCitation":"(Tanjung et al., 2022)"},"properties":{"noteIndex":0},"schema":"https://github.com/citation-style-language/schema/raw/master/csl-citation.json"}</w:instrText>
      </w:r>
      <w:r w:rsidR="006032A2" w:rsidRPr="00F97264">
        <w:rPr>
          <w:rFonts w:ascii="Cambria" w:eastAsia="Times New Roman" w:hAnsi="Cambria" w:cs="Tahoma"/>
          <w:color w:val="000000"/>
          <w:lang w:eastAsia="id-ID"/>
        </w:rPr>
        <w:fldChar w:fldCharType="separate"/>
      </w:r>
      <w:r w:rsidR="006032A2" w:rsidRPr="00F97264">
        <w:rPr>
          <w:rFonts w:ascii="Cambria" w:eastAsia="Times New Roman" w:hAnsi="Cambria" w:cs="Tahoma"/>
          <w:noProof/>
          <w:color w:val="000000"/>
          <w:lang w:eastAsia="id-ID"/>
        </w:rPr>
        <w:t>Tanjung et al. (2022)</w:t>
      </w:r>
      <w:r w:rsidR="006032A2" w:rsidRPr="00F97264">
        <w:rPr>
          <w:rFonts w:ascii="Cambria" w:eastAsia="Times New Roman" w:hAnsi="Cambria" w:cs="Tahoma"/>
          <w:color w:val="000000"/>
          <w:lang w:eastAsia="id-ID"/>
        </w:rPr>
        <w:fldChar w:fldCharType="end"/>
      </w:r>
      <w:r w:rsidR="006032A2" w:rsidRPr="00F97264">
        <w:rPr>
          <w:rFonts w:ascii="Cambria" w:eastAsia="Times New Roman" w:hAnsi="Cambria" w:cs="Tahoma"/>
          <w:color w:val="000000"/>
          <w:lang w:eastAsia="id-ID"/>
        </w:rPr>
        <w:t>, where Inflation has a significant effect on bank credit.</w:t>
      </w:r>
    </w:p>
    <w:p w:rsidR="00FC34F1" w:rsidRPr="00F97264" w:rsidRDefault="00FC34F1" w:rsidP="002C6B7C">
      <w:pPr>
        <w:pStyle w:val="ListParagraph"/>
        <w:spacing w:after="0" w:line="360" w:lineRule="auto"/>
        <w:ind w:left="426"/>
        <w:jc w:val="both"/>
        <w:rPr>
          <w:rFonts w:ascii="Cambria" w:hAnsi="Cambria" w:cs="Tahoma"/>
          <w:color w:val="000000"/>
          <w:shd w:val="clear" w:color="auto" w:fill="FFFFFF"/>
        </w:rPr>
      </w:pPr>
    </w:p>
    <w:p w:rsidR="00797A82" w:rsidRPr="00F97264" w:rsidRDefault="00F35E8B" w:rsidP="003844C5">
      <w:pPr>
        <w:pStyle w:val="ListParagraph"/>
        <w:numPr>
          <w:ilvl w:val="0"/>
          <w:numId w:val="5"/>
        </w:numPr>
        <w:spacing w:after="0" w:line="360" w:lineRule="auto"/>
        <w:ind w:left="426"/>
        <w:jc w:val="both"/>
        <w:rPr>
          <w:rFonts w:ascii="Cambria" w:hAnsi="Cambria" w:cs="Tahoma"/>
          <w:b/>
        </w:rPr>
      </w:pPr>
      <w:r w:rsidRPr="00F97264">
        <w:rPr>
          <w:rFonts w:ascii="Cambria" w:hAnsi="Cambria" w:cs="Tahoma"/>
          <w:b/>
        </w:rPr>
        <w:t>Granger Causality Analysis</w:t>
      </w:r>
    </w:p>
    <w:p w:rsidR="00843943" w:rsidRPr="00F97264" w:rsidRDefault="00F35E8B" w:rsidP="00F97264">
      <w:pPr>
        <w:pStyle w:val="ListParagraph"/>
        <w:spacing w:after="0" w:line="360" w:lineRule="auto"/>
        <w:ind w:left="426"/>
        <w:jc w:val="both"/>
        <w:rPr>
          <w:rFonts w:ascii="Cambria" w:hAnsi="Cambria" w:cs="Tahoma"/>
          <w:b/>
        </w:rPr>
      </w:pPr>
      <w:r w:rsidRPr="00F97264">
        <w:rPr>
          <w:rFonts w:ascii="Cambria" w:hAnsi="Cambria" w:cs="Tahoma"/>
          <w:b/>
        </w:rPr>
        <w:lastRenderedPageBreak/>
        <w:t>Table</w:t>
      </w:r>
      <w:r w:rsidR="00F97264" w:rsidRPr="00F97264">
        <w:rPr>
          <w:rFonts w:ascii="Cambria" w:hAnsi="Cambria" w:cs="Tahoma"/>
          <w:b/>
          <w:lang w:val="id-ID"/>
        </w:rPr>
        <w:t xml:space="preserve"> 6.</w:t>
      </w:r>
      <w:r w:rsidRPr="00F97264">
        <w:rPr>
          <w:rFonts w:ascii="Cambria" w:hAnsi="Cambria" w:cs="Tahoma"/>
          <w:b/>
        </w:rPr>
        <w:t xml:space="preserve"> Causality Test Results</w:t>
      </w:r>
    </w:p>
    <w:tbl>
      <w:tblPr>
        <w:tblW w:w="7513" w:type="dxa"/>
        <w:jc w:val="center"/>
        <w:tblLook w:val="04A0" w:firstRow="1" w:lastRow="0" w:firstColumn="1" w:lastColumn="0" w:noHBand="0" w:noVBand="1"/>
      </w:tblPr>
      <w:tblGrid>
        <w:gridCol w:w="1940"/>
        <w:gridCol w:w="1600"/>
        <w:gridCol w:w="2556"/>
        <w:gridCol w:w="1417"/>
      </w:tblGrid>
      <w:tr w:rsidR="006C0232" w:rsidRPr="00F97264" w:rsidTr="00F97264">
        <w:trPr>
          <w:trHeight w:val="300"/>
          <w:jc w:val="center"/>
        </w:trPr>
        <w:tc>
          <w:tcPr>
            <w:tcW w:w="1940" w:type="dxa"/>
            <w:tcBorders>
              <w:top w:val="single" w:sz="4" w:space="0" w:color="auto"/>
              <w:left w:val="nil"/>
              <w:bottom w:val="single" w:sz="4" w:space="0" w:color="auto"/>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b/>
                <w:bCs/>
                <w:color w:val="000000"/>
                <w:sz w:val="20"/>
                <w:szCs w:val="20"/>
                <w:lang w:eastAsia="id-ID"/>
              </w:rPr>
            </w:pPr>
            <w:r w:rsidRPr="00F97264">
              <w:rPr>
                <w:rFonts w:ascii="Cambria" w:eastAsia="Times New Roman" w:hAnsi="Cambria" w:cs="Tahoma"/>
                <w:b/>
                <w:bCs/>
                <w:color w:val="000000"/>
                <w:sz w:val="20"/>
                <w:szCs w:val="20"/>
                <w:lang w:eastAsia="id-ID"/>
              </w:rPr>
              <w:t>Null Hypothesis:</w:t>
            </w:r>
          </w:p>
        </w:tc>
        <w:tc>
          <w:tcPr>
            <w:tcW w:w="1600" w:type="dxa"/>
            <w:tcBorders>
              <w:top w:val="single" w:sz="4" w:space="0" w:color="auto"/>
              <w:left w:val="nil"/>
              <w:bottom w:val="single" w:sz="4" w:space="0" w:color="auto"/>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b/>
                <w:bCs/>
                <w:color w:val="000000"/>
                <w:sz w:val="20"/>
                <w:szCs w:val="20"/>
                <w:lang w:eastAsia="id-ID"/>
              </w:rPr>
            </w:pPr>
            <w:r w:rsidRPr="00F97264">
              <w:rPr>
                <w:rFonts w:ascii="Cambria" w:eastAsia="Times New Roman" w:hAnsi="Cambria" w:cs="Tahoma"/>
                <w:b/>
                <w:bCs/>
                <w:color w:val="000000"/>
                <w:sz w:val="20"/>
                <w:szCs w:val="20"/>
                <w:lang w:eastAsia="id-ID"/>
              </w:rPr>
              <w:t>F-Statistics</w:t>
            </w:r>
          </w:p>
        </w:tc>
        <w:tc>
          <w:tcPr>
            <w:tcW w:w="2556" w:type="dxa"/>
            <w:tcBorders>
              <w:top w:val="single" w:sz="4" w:space="0" w:color="auto"/>
              <w:left w:val="nil"/>
              <w:bottom w:val="single" w:sz="4" w:space="0" w:color="auto"/>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b/>
                <w:bCs/>
                <w:color w:val="000000"/>
                <w:sz w:val="20"/>
                <w:szCs w:val="20"/>
                <w:lang w:eastAsia="id-ID"/>
              </w:rPr>
            </w:pPr>
            <w:r w:rsidRPr="00F97264">
              <w:rPr>
                <w:rFonts w:ascii="Cambria" w:eastAsia="Times New Roman" w:hAnsi="Cambria" w:cs="Tahoma"/>
                <w:b/>
                <w:bCs/>
                <w:color w:val="000000"/>
                <w:sz w:val="20"/>
                <w:szCs w:val="20"/>
                <w:lang w:eastAsia="id-ID"/>
              </w:rPr>
              <w:t>Null Hypothesis:</w:t>
            </w:r>
          </w:p>
        </w:tc>
        <w:tc>
          <w:tcPr>
            <w:tcW w:w="1417" w:type="dxa"/>
            <w:tcBorders>
              <w:top w:val="single" w:sz="4" w:space="0" w:color="auto"/>
              <w:left w:val="nil"/>
              <w:bottom w:val="single" w:sz="4" w:space="0" w:color="auto"/>
              <w:right w:val="nil"/>
            </w:tcBorders>
            <w:shd w:val="clear" w:color="auto" w:fill="auto"/>
            <w:noWrap/>
            <w:vAlign w:val="center"/>
            <w:hideMark/>
          </w:tcPr>
          <w:p w:rsidR="0045136C" w:rsidRPr="00F97264" w:rsidRDefault="00F35E8B" w:rsidP="0045136C">
            <w:pPr>
              <w:spacing w:after="0" w:line="240" w:lineRule="auto"/>
              <w:ind w:left="-250"/>
              <w:jc w:val="center"/>
              <w:rPr>
                <w:rFonts w:ascii="Cambria" w:eastAsia="Times New Roman" w:hAnsi="Cambria" w:cs="Tahoma"/>
                <w:b/>
                <w:bCs/>
                <w:color w:val="000000"/>
                <w:sz w:val="20"/>
                <w:szCs w:val="20"/>
                <w:lang w:eastAsia="id-ID"/>
              </w:rPr>
            </w:pPr>
            <w:r w:rsidRPr="00F97264">
              <w:rPr>
                <w:rFonts w:ascii="Cambria" w:eastAsia="Times New Roman" w:hAnsi="Cambria" w:cs="Tahoma"/>
                <w:b/>
                <w:bCs/>
                <w:color w:val="000000"/>
                <w:sz w:val="20"/>
                <w:szCs w:val="20"/>
                <w:lang w:eastAsia="id-ID"/>
              </w:rPr>
              <w:t>F-Statistics</w:t>
            </w:r>
          </w:p>
        </w:tc>
      </w:tr>
      <w:tr w:rsidR="006C0232" w:rsidRPr="00F97264" w:rsidTr="00F97264">
        <w:trPr>
          <w:trHeight w:val="300"/>
          <w:jc w:val="center"/>
        </w:trPr>
        <w:tc>
          <w:tcPr>
            <w:tcW w:w="1940" w:type="dxa"/>
            <w:tcBorders>
              <w:top w:val="single" w:sz="4" w:space="0" w:color="auto"/>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TA - P</w:t>
            </w:r>
          </w:p>
        </w:tc>
        <w:tc>
          <w:tcPr>
            <w:tcW w:w="1600" w:type="dxa"/>
            <w:tcBorders>
              <w:top w:val="single" w:sz="4" w:space="0" w:color="auto"/>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0.32362</w:t>
            </w:r>
          </w:p>
        </w:tc>
        <w:tc>
          <w:tcPr>
            <w:tcW w:w="2556" w:type="dxa"/>
            <w:tcBorders>
              <w:top w:val="single" w:sz="4" w:space="0" w:color="auto"/>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NPF - NOM</w:t>
            </w:r>
          </w:p>
        </w:tc>
        <w:tc>
          <w:tcPr>
            <w:tcW w:w="1417" w:type="dxa"/>
            <w:tcBorders>
              <w:top w:val="single" w:sz="4" w:space="0" w:color="auto"/>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0.83225</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P-TA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0.06951</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NOM - NPF</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1.06996</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DPK - P</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b/>
                <w:color w:val="000000"/>
                <w:sz w:val="20"/>
                <w:szCs w:val="20"/>
                <w:lang w:eastAsia="id-ID"/>
              </w:rPr>
            </w:pPr>
            <w:r w:rsidRPr="00F97264">
              <w:rPr>
                <w:rFonts w:ascii="Cambria" w:eastAsia="Times New Roman" w:hAnsi="Cambria" w:cs="Tahoma"/>
                <w:color w:val="000000"/>
                <w:sz w:val="20"/>
                <w:szCs w:val="20"/>
                <w:lang w:eastAsia="id-ID"/>
              </w:rPr>
              <w:t> </w:t>
            </w:r>
            <w:r w:rsidRPr="00F97264">
              <w:rPr>
                <w:rFonts w:ascii="Cambria" w:eastAsia="Times New Roman" w:hAnsi="Cambria" w:cs="Tahoma"/>
                <w:b/>
                <w:color w:val="000000"/>
                <w:sz w:val="20"/>
                <w:szCs w:val="20"/>
                <w:lang w:eastAsia="id-ID"/>
              </w:rPr>
              <w:t>6.94847</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ROA - NOM</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b/>
                <w:color w:val="000000"/>
                <w:sz w:val="20"/>
                <w:szCs w:val="20"/>
                <w:lang w:eastAsia="id-ID"/>
              </w:rPr>
            </w:pPr>
            <w:r w:rsidRPr="00F97264">
              <w:rPr>
                <w:rFonts w:ascii="Cambria" w:eastAsia="Times New Roman" w:hAnsi="Cambria" w:cs="Tahoma"/>
                <w:color w:val="000000"/>
                <w:sz w:val="20"/>
                <w:szCs w:val="20"/>
                <w:lang w:eastAsia="id-ID"/>
              </w:rPr>
              <w:t> </w:t>
            </w:r>
            <w:r w:rsidRPr="00F97264">
              <w:rPr>
                <w:rFonts w:ascii="Cambria" w:eastAsia="Times New Roman" w:hAnsi="Cambria" w:cs="Tahoma"/>
                <w:b/>
                <w:color w:val="000000"/>
                <w:sz w:val="20"/>
                <w:szCs w:val="20"/>
                <w:lang w:eastAsia="id-ID"/>
              </w:rPr>
              <w:t>3.39034</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P - DPK</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0.44057</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NOM - ROA</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1.37420</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NOM - P</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0.48177</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ERPMUDH - NOM</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1.95307</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P-NOM</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0.18013</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NOM - ERPMUDH</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0.49438</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FDR - P</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0.30316</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ERPMUSY - NOM</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1.56276</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P-FDR</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0.32579</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NOM - ERPMUSY</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2.36132</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NPF - P</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0.15903</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INFLATION - NOM</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0.83393</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P - NPF</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1.00557</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NOM - INFLATION</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0.35589</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ROA - P</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0.38807</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BIRATE - NOM</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b/>
                <w:color w:val="000000"/>
                <w:sz w:val="20"/>
                <w:szCs w:val="20"/>
                <w:lang w:eastAsia="id-ID"/>
              </w:rPr>
            </w:pPr>
            <w:r w:rsidRPr="00F97264">
              <w:rPr>
                <w:rFonts w:ascii="Cambria" w:eastAsia="Times New Roman" w:hAnsi="Cambria" w:cs="Tahoma"/>
                <w:b/>
                <w:color w:val="000000"/>
                <w:sz w:val="20"/>
                <w:szCs w:val="20"/>
                <w:lang w:eastAsia="id-ID"/>
              </w:rPr>
              <w:t>2.75621</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P-ROA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0.64889</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NOM - BIRATE</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1.30409</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ERPMUDH - P</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0.14395</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NPF - FDR</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0.17870</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P - ERPMUDH</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0.83951</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FDR - NPF</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0.87575</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ERPMUSY - P</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0.11373</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ROA - FDR</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0.66047</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P - ERPMUSY</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1.13420</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FDR - ROA</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1.71541</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INFLATION - P</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0.15930</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ERPMUDH - FDR</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0.12887</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P - INFLATION</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1.46680</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FDR - ERPMUDH</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0.52026</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BIRATE - P</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b/>
                <w:color w:val="000000"/>
                <w:sz w:val="20"/>
                <w:szCs w:val="20"/>
                <w:lang w:eastAsia="id-ID"/>
              </w:rPr>
            </w:pPr>
            <w:r w:rsidRPr="00F97264">
              <w:rPr>
                <w:rFonts w:ascii="Cambria" w:eastAsia="Times New Roman" w:hAnsi="Cambria" w:cs="Tahoma"/>
                <w:color w:val="000000"/>
                <w:sz w:val="20"/>
                <w:szCs w:val="20"/>
                <w:lang w:eastAsia="id-ID"/>
              </w:rPr>
              <w:t> </w:t>
            </w:r>
            <w:r w:rsidRPr="00F97264">
              <w:rPr>
                <w:rFonts w:ascii="Cambria" w:eastAsia="Times New Roman" w:hAnsi="Cambria" w:cs="Tahoma"/>
                <w:b/>
                <w:color w:val="000000"/>
                <w:sz w:val="20"/>
                <w:szCs w:val="20"/>
                <w:lang w:eastAsia="id-ID"/>
              </w:rPr>
              <w:t>3.15877</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ERPMUSY - FDR</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0.27349</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P - BIRATE</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0.29585</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FDR - ERPMUSY</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0.65186</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DPK - TA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0.02289</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INFLATION - FDR</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0.46499</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TA - DPK</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0.07042</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FDR - INFLATION</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1.08538</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NOM - TA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0.41704</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BIRATE - FDR</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b/>
                <w:color w:val="000000"/>
                <w:sz w:val="20"/>
                <w:szCs w:val="20"/>
                <w:lang w:eastAsia="id-ID"/>
              </w:rPr>
            </w:pPr>
            <w:r w:rsidRPr="00F97264">
              <w:rPr>
                <w:rFonts w:ascii="Cambria" w:eastAsia="Times New Roman" w:hAnsi="Cambria" w:cs="Tahoma"/>
                <w:b/>
                <w:color w:val="000000"/>
                <w:sz w:val="20"/>
                <w:szCs w:val="20"/>
                <w:lang w:eastAsia="id-ID"/>
              </w:rPr>
              <w:t>6.63039</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TA - NOM</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1.56170</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FDR - BIRATE</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0.05357</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FDR - TA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0.60486</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ROA - NPF</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0.02527</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TA - FDR</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0.80197</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NPF - ROA</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0.12486</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NPF - TA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0.00341</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ERPMUDH - NPF</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0.25017</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TA - NPF</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0.87030</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NPF - ERPMUDH</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1.80224</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ROA - TA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0.09646</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ERPMUSY - NPF</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0.32759</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TA-ROA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b/>
                <w:color w:val="000000"/>
                <w:sz w:val="20"/>
                <w:szCs w:val="20"/>
                <w:lang w:eastAsia="id-ID"/>
              </w:rPr>
            </w:pPr>
            <w:r w:rsidRPr="00F97264">
              <w:rPr>
                <w:rFonts w:ascii="Cambria" w:eastAsia="Times New Roman" w:hAnsi="Cambria" w:cs="Tahoma"/>
                <w:color w:val="000000"/>
                <w:sz w:val="20"/>
                <w:szCs w:val="20"/>
                <w:lang w:eastAsia="id-ID"/>
              </w:rPr>
              <w:t> </w:t>
            </w:r>
            <w:r w:rsidRPr="00F97264">
              <w:rPr>
                <w:rFonts w:ascii="Cambria" w:eastAsia="Times New Roman" w:hAnsi="Cambria" w:cs="Tahoma"/>
                <w:b/>
                <w:color w:val="000000"/>
                <w:sz w:val="20"/>
                <w:szCs w:val="20"/>
                <w:lang w:eastAsia="id-ID"/>
              </w:rPr>
              <w:t>2.84298</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NPF - ERPMUSY</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0.71602</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ERPMUDH - TA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0.12143</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INFLATION - NPF</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0.23010</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TA - ERPMUDH</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0.57676</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NPF - INFLATION</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0.92303</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ERPMUSY - TA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0.04019</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BIRATE - NPF</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1.80556</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TA - ERPMUSY</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0.49341</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NPF - BIRATE</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0.15535</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INFLATION-TA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0.50016</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ERPMUDH - ROA</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0.44027</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TA-INFLATION</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1.70935</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ROA - ERPMUDH</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0.01822</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BIRATE-TA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8.83017</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ERPMUSY - ROA</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0.14295</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lastRenderedPageBreak/>
              <w:t>TA-BIRATE</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0.91315</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ROA - ERPMUSY</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0.11686</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NOM-DPK</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0.31831</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INFLATION - ROA</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b/>
                <w:color w:val="000000"/>
                <w:sz w:val="20"/>
                <w:szCs w:val="20"/>
                <w:lang w:eastAsia="id-ID"/>
              </w:rPr>
            </w:pPr>
            <w:r w:rsidRPr="00F97264">
              <w:rPr>
                <w:rFonts w:ascii="Cambria" w:eastAsia="Times New Roman" w:hAnsi="Cambria" w:cs="Tahoma"/>
                <w:b/>
                <w:color w:val="000000"/>
                <w:sz w:val="20"/>
                <w:szCs w:val="20"/>
                <w:lang w:eastAsia="id-ID"/>
              </w:rPr>
              <w:t>3.22699</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DPK-NOM</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18.1055</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ROA - INFLATION</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0.35726</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FDR-DPK</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0.04912</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BIRATE - ROA</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b/>
                <w:color w:val="000000"/>
                <w:sz w:val="20"/>
                <w:szCs w:val="20"/>
                <w:lang w:eastAsia="id-ID"/>
              </w:rPr>
            </w:pPr>
            <w:r w:rsidRPr="00F97264">
              <w:rPr>
                <w:rFonts w:ascii="Cambria" w:eastAsia="Times New Roman" w:hAnsi="Cambria" w:cs="Tahoma"/>
                <w:color w:val="000000"/>
                <w:sz w:val="20"/>
                <w:szCs w:val="20"/>
                <w:lang w:eastAsia="id-ID"/>
              </w:rPr>
              <w:t> </w:t>
            </w:r>
            <w:r w:rsidRPr="00F97264">
              <w:rPr>
                <w:rFonts w:ascii="Cambria" w:eastAsia="Times New Roman" w:hAnsi="Cambria" w:cs="Tahoma"/>
                <w:b/>
                <w:color w:val="000000"/>
                <w:sz w:val="20"/>
                <w:szCs w:val="20"/>
                <w:lang w:eastAsia="id-ID"/>
              </w:rPr>
              <w:t>5.81442</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DPK-FDR</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0.26012</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ROA - BIRATE</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0.01088</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NPF-DPK</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2.10963</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ERPMUSY - ERPMUDH</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b/>
                <w:color w:val="000000"/>
                <w:sz w:val="20"/>
                <w:szCs w:val="20"/>
                <w:lang w:eastAsia="id-ID"/>
              </w:rPr>
            </w:pPr>
            <w:r w:rsidRPr="00F97264">
              <w:rPr>
                <w:rFonts w:ascii="Cambria" w:eastAsia="Times New Roman" w:hAnsi="Cambria" w:cs="Tahoma"/>
                <w:b/>
                <w:color w:val="000000"/>
                <w:sz w:val="20"/>
                <w:szCs w:val="20"/>
                <w:lang w:eastAsia="id-ID"/>
              </w:rPr>
              <w:t>3.02206</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DPK-NPF</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0.79208</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ERPMUDH - ERPMUSY</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1.76849</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ROA-DPK</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0.23079</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INFLATION - ERPMUDH</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0.90971</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DPK-ROA</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1.41516</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ERPMUDH - INFLATION</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0.36206</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ERPMUDH - DPK</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0.37479</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BIRATE - ERPMUDH</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1.98185</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DPK - ERPMUDH</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0.66432</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ERPMUDH - BIRATE</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0.73688</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ERPMUSY - DPK</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0.17389</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INFLATION - ERPMUSY</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0.57246</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DPK - ERPMUSY</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1.36518</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ERPMUSY - INFLATION</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0.90835</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INFLATION - TPF</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0.73615</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BIRATE - ERPMUSY</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1.47440</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DPK - INFLATION</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0.58348</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ERPMUSY - BIRATE</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0.57822</w:t>
            </w:r>
          </w:p>
        </w:tc>
      </w:tr>
      <w:tr w:rsidR="006C0232" w:rsidRPr="00F97264" w:rsidTr="00F97264">
        <w:trPr>
          <w:trHeight w:val="30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BIRATE - DPK</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0.32466</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BIRATE - INFLATION</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1.88526</w:t>
            </w:r>
          </w:p>
        </w:tc>
      </w:tr>
      <w:tr w:rsidR="006C0232" w:rsidRPr="00F97264" w:rsidTr="00F97264">
        <w:trPr>
          <w:trHeight w:val="480"/>
          <w:jc w:val="center"/>
        </w:trPr>
        <w:tc>
          <w:tcPr>
            <w:tcW w:w="194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DPK - BIRATE</w:t>
            </w:r>
          </w:p>
        </w:tc>
        <w:tc>
          <w:tcPr>
            <w:tcW w:w="1600"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0.04890</w:t>
            </w:r>
          </w:p>
        </w:tc>
        <w:tc>
          <w:tcPr>
            <w:tcW w:w="2556"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INFLATION - BIRATE</w:t>
            </w:r>
          </w:p>
        </w:tc>
        <w:tc>
          <w:tcPr>
            <w:tcW w:w="1417" w:type="dxa"/>
            <w:tcBorders>
              <w:top w:val="nil"/>
              <w:left w:val="nil"/>
              <w:bottom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2.29785</w:t>
            </w:r>
          </w:p>
        </w:tc>
      </w:tr>
      <w:tr w:rsidR="006C0232" w:rsidRPr="00F97264" w:rsidTr="00F97264">
        <w:trPr>
          <w:trHeight w:val="300"/>
          <w:jc w:val="center"/>
        </w:trPr>
        <w:tc>
          <w:tcPr>
            <w:tcW w:w="1940" w:type="dxa"/>
            <w:tcBorders>
              <w:top w:val="nil"/>
              <w:left w:val="nil"/>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FDR - NOM</w:t>
            </w:r>
          </w:p>
        </w:tc>
        <w:tc>
          <w:tcPr>
            <w:tcW w:w="1600" w:type="dxa"/>
            <w:tcBorders>
              <w:top w:val="nil"/>
              <w:left w:val="nil"/>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0.31755</w:t>
            </w:r>
          </w:p>
        </w:tc>
        <w:tc>
          <w:tcPr>
            <w:tcW w:w="2556" w:type="dxa"/>
            <w:tcBorders>
              <w:top w:val="nil"/>
              <w:left w:val="nil"/>
              <w:right w:val="nil"/>
            </w:tcBorders>
            <w:shd w:val="clear" w:color="auto" w:fill="auto"/>
            <w:noWrap/>
            <w:vAlign w:val="bottom"/>
            <w:hideMark/>
          </w:tcPr>
          <w:p w:rsidR="0045136C" w:rsidRPr="00F97264" w:rsidRDefault="0045136C" w:rsidP="0045136C">
            <w:pPr>
              <w:spacing w:after="0" w:line="240" w:lineRule="auto"/>
              <w:jc w:val="center"/>
              <w:rPr>
                <w:rFonts w:ascii="Cambria" w:eastAsia="Times New Roman" w:hAnsi="Cambria" w:cs="Tahoma"/>
                <w:color w:val="000000"/>
                <w:sz w:val="20"/>
                <w:szCs w:val="20"/>
                <w:lang w:eastAsia="id-ID"/>
              </w:rPr>
            </w:pPr>
          </w:p>
        </w:tc>
        <w:tc>
          <w:tcPr>
            <w:tcW w:w="1417" w:type="dxa"/>
            <w:tcBorders>
              <w:top w:val="nil"/>
              <w:left w:val="nil"/>
              <w:right w:val="nil"/>
            </w:tcBorders>
            <w:shd w:val="clear" w:color="auto" w:fill="auto"/>
            <w:noWrap/>
            <w:vAlign w:val="bottom"/>
            <w:hideMark/>
          </w:tcPr>
          <w:p w:rsidR="0045136C" w:rsidRPr="00F97264" w:rsidRDefault="0045136C" w:rsidP="0045136C">
            <w:pPr>
              <w:spacing w:after="0" w:line="240" w:lineRule="auto"/>
              <w:rPr>
                <w:rFonts w:ascii="Cambria" w:eastAsia="Times New Roman" w:hAnsi="Cambria" w:cs="Tahoma"/>
                <w:sz w:val="20"/>
                <w:szCs w:val="20"/>
                <w:lang w:eastAsia="id-ID"/>
              </w:rPr>
            </w:pPr>
          </w:p>
        </w:tc>
      </w:tr>
      <w:tr w:rsidR="006C0232" w:rsidRPr="00F97264" w:rsidTr="00F97264">
        <w:trPr>
          <w:trHeight w:val="300"/>
          <w:jc w:val="center"/>
        </w:trPr>
        <w:tc>
          <w:tcPr>
            <w:tcW w:w="1940" w:type="dxa"/>
            <w:tcBorders>
              <w:top w:val="nil"/>
              <w:left w:val="nil"/>
              <w:bottom w:val="single" w:sz="4" w:space="0" w:color="auto"/>
              <w:right w:val="nil"/>
            </w:tcBorders>
            <w:shd w:val="clear" w:color="auto" w:fill="auto"/>
            <w:noWrap/>
            <w:vAlign w:val="center"/>
            <w:hideMark/>
          </w:tcPr>
          <w:p w:rsidR="0045136C" w:rsidRPr="00F97264" w:rsidRDefault="00F35E8B" w:rsidP="0045136C">
            <w:pPr>
              <w:spacing w:after="0" w:line="240" w:lineRule="auto"/>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NOM - FDR</w:t>
            </w:r>
          </w:p>
        </w:tc>
        <w:tc>
          <w:tcPr>
            <w:tcW w:w="1600" w:type="dxa"/>
            <w:tcBorders>
              <w:top w:val="nil"/>
              <w:left w:val="nil"/>
              <w:bottom w:val="single" w:sz="4" w:space="0" w:color="auto"/>
              <w:right w:val="nil"/>
            </w:tcBorders>
            <w:shd w:val="clear" w:color="auto" w:fill="auto"/>
            <w:noWrap/>
            <w:vAlign w:val="center"/>
            <w:hideMark/>
          </w:tcPr>
          <w:p w:rsidR="0045136C" w:rsidRPr="00F97264" w:rsidRDefault="00F35E8B" w:rsidP="0045136C">
            <w:pPr>
              <w:spacing w:after="0" w:line="240" w:lineRule="auto"/>
              <w:jc w:val="center"/>
              <w:rPr>
                <w:rFonts w:ascii="Cambria" w:eastAsia="Times New Roman" w:hAnsi="Cambria" w:cs="Tahoma"/>
                <w:color w:val="000000"/>
                <w:sz w:val="20"/>
                <w:szCs w:val="20"/>
                <w:lang w:eastAsia="id-ID"/>
              </w:rPr>
            </w:pPr>
            <w:r w:rsidRPr="00F97264">
              <w:rPr>
                <w:rFonts w:ascii="Cambria" w:eastAsia="Times New Roman" w:hAnsi="Cambria" w:cs="Tahoma"/>
                <w:color w:val="000000"/>
                <w:sz w:val="20"/>
                <w:szCs w:val="20"/>
                <w:lang w:eastAsia="id-ID"/>
              </w:rPr>
              <w:t>0.28597</w:t>
            </w:r>
          </w:p>
        </w:tc>
        <w:tc>
          <w:tcPr>
            <w:tcW w:w="2556" w:type="dxa"/>
            <w:tcBorders>
              <w:top w:val="nil"/>
              <w:left w:val="nil"/>
              <w:bottom w:val="single" w:sz="4" w:space="0" w:color="auto"/>
              <w:right w:val="nil"/>
            </w:tcBorders>
            <w:shd w:val="clear" w:color="auto" w:fill="auto"/>
            <w:noWrap/>
            <w:vAlign w:val="bottom"/>
            <w:hideMark/>
          </w:tcPr>
          <w:p w:rsidR="0045136C" w:rsidRPr="00F97264" w:rsidRDefault="0045136C" w:rsidP="0045136C">
            <w:pPr>
              <w:spacing w:after="0" w:line="240" w:lineRule="auto"/>
              <w:jc w:val="center"/>
              <w:rPr>
                <w:rFonts w:ascii="Cambria" w:eastAsia="Times New Roman" w:hAnsi="Cambria" w:cs="Tahoma"/>
                <w:color w:val="000000"/>
                <w:sz w:val="20"/>
                <w:szCs w:val="20"/>
                <w:lang w:eastAsia="id-ID"/>
              </w:rPr>
            </w:pPr>
          </w:p>
        </w:tc>
        <w:tc>
          <w:tcPr>
            <w:tcW w:w="1417" w:type="dxa"/>
            <w:tcBorders>
              <w:top w:val="nil"/>
              <w:left w:val="nil"/>
              <w:bottom w:val="single" w:sz="4" w:space="0" w:color="auto"/>
              <w:right w:val="nil"/>
            </w:tcBorders>
            <w:shd w:val="clear" w:color="auto" w:fill="auto"/>
            <w:noWrap/>
            <w:vAlign w:val="bottom"/>
            <w:hideMark/>
          </w:tcPr>
          <w:p w:rsidR="0045136C" w:rsidRPr="00F97264" w:rsidRDefault="0045136C" w:rsidP="0045136C">
            <w:pPr>
              <w:spacing w:after="0" w:line="240" w:lineRule="auto"/>
              <w:rPr>
                <w:rFonts w:ascii="Cambria" w:eastAsia="Times New Roman" w:hAnsi="Cambria" w:cs="Tahoma"/>
                <w:sz w:val="20"/>
                <w:szCs w:val="20"/>
                <w:lang w:eastAsia="id-ID"/>
              </w:rPr>
            </w:pPr>
          </w:p>
        </w:tc>
      </w:tr>
    </w:tbl>
    <w:p w:rsidR="0045136C" w:rsidRPr="00EA577A" w:rsidRDefault="00EA577A" w:rsidP="00843943">
      <w:pPr>
        <w:pStyle w:val="ListParagraph"/>
        <w:spacing w:after="0" w:line="360" w:lineRule="auto"/>
        <w:ind w:left="426"/>
        <w:jc w:val="both"/>
        <w:rPr>
          <w:rFonts w:ascii="Cambria" w:hAnsi="Cambria" w:cs="Tahoma"/>
          <w:sz w:val="20"/>
          <w:szCs w:val="20"/>
        </w:rPr>
      </w:pPr>
      <w:r w:rsidRPr="00EA577A">
        <w:rPr>
          <w:rFonts w:ascii="Cambria" w:hAnsi="Cambria" w:cs="Tahoma"/>
          <w:sz w:val="20"/>
          <w:szCs w:val="20"/>
        </w:rPr>
        <w:t>Source: Data processed 2022</w:t>
      </w:r>
    </w:p>
    <w:p w:rsidR="0045136C" w:rsidRPr="00F97264" w:rsidRDefault="0045136C" w:rsidP="00843943">
      <w:pPr>
        <w:pStyle w:val="ListParagraph"/>
        <w:spacing w:after="0" w:line="360" w:lineRule="auto"/>
        <w:ind w:left="426"/>
        <w:jc w:val="both"/>
        <w:rPr>
          <w:rFonts w:ascii="Cambria" w:hAnsi="Cambria" w:cs="Tahoma"/>
        </w:rPr>
      </w:pPr>
    </w:p>
    <w:p w:rsidR="002C2457" w:rsidRPr="00F97264" w:rsidRDefault="00F35E8B" w:rsidP="00617E52">
      <w:pPr>
        <w:pStyle w:val="ListParagraph"/>
        <w:spacing w:after="0" w:line="360" w:lineRule="auto"/>
        <w:ind w:left="0"/>
        <w:jc w:val="both"/>
        <w:rPr>
          <w:rFonts w:ascii="Cambria" w:hAnsi="Cambria" w:cs="Tahoma"/>
        </w:rPr>
      </w:pPr>
      <w:r w:rsidRPr="00F97264">
        <w:rPr>
          <w:rFonts w:ascii="Cambria" w:hAnsi="Cambria" w:cs="Tahoma"/>
        </w:rPr>
        <w:tab/>
        <w:t xml:space="preserve">The results of the variable causality test with the Granger causality test, it was found that, in general, the causal relationship formed in this study was that the variables used were unidirectional. That is, changes that occur between one variable and another are responded to without any reciprocal relationship. </w:t>
      </w:r>
      <w:r w:rsidR="009F37A3" w:rsidRPr="00F97264">
        <w:rPr>
          <w:rFonts w:ascii="Cambria" w:hAnsi="Cambria" w:cs="Tahoma"/>
        </w:rPr>
        <w:t>In this study, the volume of Islamic banking financing in long-term relationships tends to respond to changes in different directions.</w:t>
      </w:r>
    </w:p>
    <w:p w:rsidR="00C06F96" w:rsidRPr="00F97264" w:rsidRDefault="00F35E8B" w:rsidP="00617E52">
      <w:pPr>
        <w:pStyle w:val="ListParagraph"/>
        <w:spacing w:after="0" w:line="360" w:lineRule="auto"/>
        <w:ind w:left="0"/>
        <w:jc w:val="both"/>
        <w:rPr>
          <w:rFonts w:ascii="Cambria" w:hAnsi="Cambria" w:cs="Tahoma"/>
        </w:rPr>
      </w:pPr>
      <w:r w:rsidRPr="00F97264">
        <w:rPr>
          <w:rFonts w:ascii="Cambria" w:hAnsi="Cambria" w:cs="Tahoma"/>
        </w:rPr>
        <w:tab/>
      </w:r>
      <w:r w:rsidR="003C7FC5" w:rsidRPr="00F97264">
        <w:rPr>
          <w:rFonts w:ascii="Cambria" w:hAnsi="Cambria" w:cs="Tahoma"/>
        </w:rPr>
        <w:t>A significant unidirectional relationship occurs in the variable Third Party Funds on Islamic banking financing, while the Islamic financing variable does not affect DPK. The DPK variable has a strong influence on Financing distributed by Islamic banking in Indonesia. Funds collected from customers will increase or decrease the distribution of Financing by banks. Conversely, fluctuations in Financing did not affect bank DPK.</w:t>
      </w:r>
    </w:p>
    <w:p w:rsidR="00843943" w:rsidRPr="00F97264" w:rsidRDefault="00F35E8B" w:rsidP="00617E52">
      <w:pPr>
        <w:pStyle w:val="ListParagraph"/>
        <w:spacing w:after="0" w:line="360" w:lineRule="auto"/>
        <w:ind w:left="0"/>
        <w:jc w:val="both"/>
        <w:rPr>
          <w:rFonts w:ascii="Cambria" w:hAnsi="Cambria" w:cs="Tahoma"/>
        </w:rPr>
      </w:pPr>
      <w:r w:rsidRPr="00F97264">
        <w:rPr>
          <w:rFonts w:ascii="Cambria" w:hAnsi="Cambria" w:cs="Tahoma"/>
        </w:rPr>
        <w:tab/>
      </w:r>
      <w:r w:rsidR="003C7FC5" w:rsidRPr="00F97264">
        <w:rPr>
          <w:rFonts w:ascii="Cambria" w:hAnsi="Cambria" w:cs="Tahoma"/>
        </w:rPr>
        <w:t>The BI rate has a unidirectional relationship with Islamic bank financing. This proves that bank offers in terms of Financing or requests for Financing submitted by customers follow the BI rate set by the central bank. But on the contrary, the determination of the BI rate or its fluctuation is not based on the Financing channeled by Islamic banking. Therefore, the two variables only have a one-way relationship.</w:t>
      </w:r>
    </w:p>
    <w:p w:rsidR="00684FD1" w:rsidRPr="00F97264" w:rsidRDefault="00F35E8B" w:rsidP="00C06F96">
      <w:pPr>
        <w:pStyle w:val="ListParagraph"/>
        <w:spacing w:after="0" w:line="360" w:lineRule="auto"/>
        <w:ind w:left="0" w:firstLine="720"/>
        <w:jc w:val="both"/>
        <w:rPr>
          <w:rFonts w:ascii="Cambria" w:hAnsi="Cambria" w:cs="Tahoma"/>
        </w:rPr>
      </w:pPr>
      <w:r w:rsidRPr="00F97264">
        <w:rPr>
          <w:rFonts w:ascii="Cambria" w:hAnsi="Cambria" w:cs="Tahoma"/>
        </w:rPr>
        <w:lastRenderedPageBreak/>
        <w:t>Furthermore, Total Assets have a one-way relationship with ROA, but ROA does not affect Total Assets. Productive assets owned by Indonesian Islamic banking will affect bank profitability because the profit generated by banks depends on the productive assets they have.</w:t>
      </w:r>
    </w:p>
    <w:p w:rsidR="00843943" w:rsidRPr="00F97264" w:rsidRDefault="00F35E8B" w:rsidP="00684FD1">
      <w:pPr>
        <w:pStyle w:val="ListParagraph"/>
        <w:spacing w:after="0" w:line="360" w:lineRule="auto"/>
        <w:ind w:left="0" w:firstLine="720"/>
        <w:jc w:val="both"/>
        <w:rPr>
          <w:rFonts w:ascii="Cambria" w:hAnsi="Cambria" w:cs="Tahoma"/>
        </w:rPr>
      </w:pPr>
      <w:r w:rsidRPr="00F97264">
        <w:rPr>
          <w:rFonts w:ascii="Cambria" w:hAnsi="Cambria" w:cs="Tahoma"/>
        </w:rPr>
        <w:t>Likewise, ROA only affects NOM but does not have a reciprocal direction. NOM does not show a significant effect on ROA. This indicates that the profits obtained by Islamic banks in Indonesia see the management of each bank in managing its productive assets so that it will increase the revenue sharing to be received, but on the other hand, NOM does not affect ROA</w:t>
      </w:r>
      <w:r w:rsidRPr="00F97264">
        <w:rPr>
          <w:rFonts w:ascii="Cambria" w:hAnsi="Cambria" w:cs="Tahoma"/>
          <w:bCs/>
        </w:rPr>
        <w:t>.</w:t>
      </w:r>
    </w:p>
    <w:p w:rsidR="0044684E" w:rsidRPr="00F97264" w:rsidRDefault="00F35E8B" w:rsidP="00684FD1">
      <w:pPr>
        <w:pStyle w:val="ListParagraph"/>
        <w:spacing w:after="0" w:line="360" w:lineRule="auto"/>
        <w:ind w:left="0" w:firstLine="720"/>
        <w:jc w:val="both"/>
        <w:rPr>
          <w:rFonts w:ascii="Cambria" w:hAnsi="Cambria" w:cs="Tahoma"/>
        </w:rPr>
      </w:pPr>
      <w:r w:rsidRPr="00F97264">
        <w:rPr>
          <w:rFonts w:ascii="Cambria" w:hAnsi="Cambria" w:cs="Tahoma"/>
        </w:rPr>
        <w:t xml:space="preserve">Furthermore, the BI rate has a unidirectional relationship with NOM, but NOM does not have a unidirectional influence on the BI rate, where the BI rate is set by the central bank to regulate all macro issues or the circulation of money circulating in society, </w:t>
      </w:r>
      <w:r w:rsidR="007059BA" w:rsidRPr="00F97264">
        <w:rPr>
          <w:rFonts w:ascii="Cambria" w:hAnsi="Cambria" w:cs="Tahoma"/>
        </w:rPr>
        <w:t>so that the economy remains stable. So that in stabilizing economic conditions, the central bank issues its policy through the BI rate so that the revenue sharing received by the bank can be adjusted.</w:t>
      </w:r>
    </w:p>
    <w:p w:rsidR="000963C3" w:rsidRPr="00F97264" w:rsidRDefault="00F35E8B" w:rsidP="007059BA">
      <w:pPr>
        <w:pStyle w:val="ListParagraph"/>
        <w:spacing w:after="0" w:line="360" w:lineRule="auto"/>
        <w:ind w:left="0" w:firstLine="720"/>
        <w:jc w:val="both"/>
        <w:rPr>
          <w:rFonts w:ascii="Cambria" w:hAnsi="Cambria" w:cs="Tahoma"/>
        </w:rPr>
      </w:pPr>
      <w:r w:rsidRPr="00F97264">
        <w:rPr>
          <w:rFonts w:ascii="Cambria" w:hAnsi="Cambria" w:cs="Tahoma"/>
        </w:rPr>
        <w:t>Thus with the result that the BI rate has a unidirectional relationship with FDR, on the other hand, FDR does not have a significant effect on the BI rate. This is the same as the previous explanation of how the BI rate can affect several variables in this study, but these variables cannot decrease or increase the BI rate, which has been set by the central bank.</w:t>
      </w:r>
    </w:p>
    <w:p w:rsidR="000963C3" w:rsidRPr="00F97264" w:rsidRDefault="00F35E8B" w:rsidP="007059BA">
      <w:pPr>
        <w:pStyle w:val="ListParagraph"/>
        <w:spacing w:after="0" w:line="360" w:lineRule="auto"/>
        <w:ind w:left="0" w:firstLine="720"/>
        <w:jc w:val="both"/>
        <w:rPr>
          <w:rFonts w:ascii="Cambria" w:hAnsi="Cambria" w:cs="Tahoma"/>
        </w:rPr>
      </w:pPr>
      <w:r w:rsidRPr="00F97264">
        <w:rPr>
          <w:rFonts w:ascii="Cambria" w:hAnsi="Cambria" w:cs="Tahoma"/>
        </w:rPr>
        <w:t>Inflation has a one-way relationship with ROA, but ROA cannot affect Inflation. It is believed that Inflation is a macroeconomic variable that can affect the profitability of Islamic banks but cannot be strongly influenced by bank performance.</w:t>
      </w:r>
    </w:p>
    <w:p w:rsidR="000963C3" w:rsidRPr="00F97264" w:rsidRDefault="00F35E8B" w:rsidP="002835E3">
      <w:pPr>
        <w:pStyle w:val="ListParagraph"/>
        <w:spacing w:after="0" w:line="360" w:lineRule="auto"/>
        <w:ind w:left="0" w:firstLine="720"/>
        <w:jc w:val="both"/>
        <w:rPr>
          <w:rFonts w:ascii="Cambria" w:hAnsi="Cambria" w:cs="Tahoma"/>
        </w:rPr>
      </w:pPr>
      <w:r w:rsidRPr="00F97264">
        <w:rPr>
          <w:rFonts w:ascii="Cambria" w:hAnsi="Cambria" w:cs="Tahoma"/>
        </w:rPr>
        <w:t>The BI rate has a one-way relationship with ROA. It can be concluded that the macro variables used in this study influence many Islamic bank variables. Macro variables, as in this study, Inflation and the BI rate are not influenced by internal banking variables.</w:t>
      </w:r>
    </w:p>
    <w:p w:rsidR="0007189C" w:rsidRPr="00002900" w:rsidRDefault="0007189C" w:rsidP="002835E3">
      <w:pPr>
        <w:pStyle w:val="ListParagraph"/>
        <w:spacing w:after="0" w:line="360" w:lineRule="auto"/>
        <w:ind w:left="0" w:firstLine="720"/>
        <w:jc w:val="both"/>
        <w:rPr>
          <w:rFonts w:ascii="Cambria" w:hAnsi="Cambria" w:cs="Tahoma"/>
          <w:b/>
          <w:sz w:val="24"/>
          <w:szCs w:val="24"/>
        </w:rPr>
      </w:pPr>
    </w:p>
    <w:p w:rsidR="0007189C" w:rsidRPr="00002900" w:rsidRDefault="00F35E8B" w:rsidP="00BD7C90">
      <w:pPr>
        <w:pStyle w:val="ListParagraph"/>
        <w:spacing w:after="0" w:line="360" w:lineRule="auto"/>
        <w:ind w:left="0" w:firstLine="720"/>
        <w:jc w:val="center"/>
        <w:rPr>
          <w:rFonts w:ascii="Cambria" w:hAnsi="Cambria" w:cs="Tahoma"/>
          <w:noProof/>
          <w:sz w:val="24"/>
          <w:szCs w:val="24"/>
          <w:lang w:eastAsia="id-ID"/>
        </w:rPr>
      </w:pPr>
      <w:r w:rsidRPr="00002900">
        <w:rPr>
          <w:rFonts w:ascii="Cambria" w:hAnsi="Cambria" w:cs="Tahoma"/>
          <w:noProof/>
          <w:sz w:val="24"/>
          <w:szCs w:val="24"/>
          <w:lang w:val="id-ID" w:eastAsia="id-ID"/>
        </w:rPr>
        <w:drawing>
          <wp:anchor distT="0" distB="0" distL="114300" distR="114300" simplePos="0" relativeHeight="251661312" behindDoc="0" locked="0" layoutInCell="1" allowOverlap="1" wp14:anchorId="4B61AA63" wp14:editId="7CD27D0A">
            <wp:simplePos x="0" y="0"/>
            <wp:positionH relativeFrom="column">
              <wp:posOffset>2501265</wp:posOffset>
            </wp:positionH>
            <wp:positionV relativeFrom="paragraph">
              <wp:posOffset>2205990</wp:posOffset>
            </wp:positionV>
            <wp:extent cx="2571750" cy="1581150"/>
            <wp:effectExtent l="0" t="0" r="0" b="0"/>
            <wp:wrapThrough wrapText="bothSides">
              <wp:wrapPolygon edited="0">
                <wp:start x="0" y="0"/>
                <wp:lineTo x="0" y="21340"/>
                <wp:lineTo x="21440" y="21340"/>
                <wp:lineTo x="21440" y="0"/>
                <wp:lineTo x="0" y="0"/>
              </wp:wrapPolygon>
            </wp:wrapThrough>
            <wp:docPr id="9" name="Picture 9" descr="C:\Users\Dini Rahmayanti\OneDrive\Pictures\Screenshot\2023-03-03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4" descr="C:\Users\Dini Rahmayanti\OneDrive\Pictures\Screenshot\2023-03-03 (7).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571750" cy="1581150"/>
                    </a:xfrm>
                    <a:prstGeom prst="rect">
                      <a:avLst/>
                    </a:prstGeom>
                    <a:noFill/>
                    <a:ln>
                      <a:noFill/>
                    </a:ln>
                  </pic:spPr>
                </pic:pic>
              </a:graphicData>
            </a:graphic>
            <wp14:sizeRelH relativeFrom="margin">
              <wp14:pctWidth>0</wp14:pctWidth>
            </wp14:sizeRelH>
          </wp:anchor>
        </w:drawing>
      </w:r>
      <w:r w:rsidRPr="00002900">
        <w:rPr>
          <w:rFonts w:ascii="Cambria" w:hAnsi="Cambria" w:cs="Tahoma"/>
          <w:b/>
          <w:noProof/>
          <w:sz w:val="24"/>
          <w:szCs w:val="24"/>
          <w:lang w:val="id-ID" w:eastAsia="id-ID"/>
        </w:rPr>
        <w:drawing>
          <wp:anchor distT="0" distB="0" distL="114300" distR="114300" simplePos="0" relativeHeight="251660288" behindDoc="0" locked="0" layoutInCell="1" allowOverlap="1" wp14:anchorId="3213EA1C" wp14:editId="41090937">
            <wp:simplePos x="0" y="0"/>
            <wp:positionH relativeFrom="column">
              <wp:posOffset>-22860</wp:posOffset>
            </wp:positionH>
            <wp:positionV relativeFrom="paragraph">
              <wp:posOffset>2253615</wp:posOffset>
            </wp:positionV>
            <wp:extent cx="2619375" cy="1533525"/>
            <wp:effectExtent l="0" t="0" r="9525" b="9525"/>
            <wp:wrapThrough wrapText="bothSides">
              <wp:wrapPolygon edited="0">
                <wp:start x="0" y="0"/>
                <wp:lineTo x="0" y="21466"/>
                <wp:lineTo x="21521" y="21466"/>
                <wp:lineTo x="21521" y="0"/>
                <wp:lineTo x="0" y="0"/>
              </wp:wrapPolygon>
            </wp:wrapThrough>
            <wp:docPr id="8" name="Picture 8" descr="C:\Users\Dini Rahmayanti\OneDrive\Pictures\Screenshot\2023-03-03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Dini Rahmayanti\OneDrive\Pictures\Screenshot\2023-03-03 (5).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937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40F89" w:rsidRPr="00002900">
        <w:rPr>
          <w:rFonts w:ascii="Cambria" w:hAnsi="Cambria" w:cs="Tahoma"/>
          <w:noProof/>
          <w:sz w:val="24"/>
          <w:szCs w:val="24"/>
          <w:lang w:val="id-ID" w:eastAsia="id-ID"/>
        </w:rPr>
        <w:drawing>
          <wp:anchor distT="0" distB="0" distL="114300" distR="114300" simplePos="0" relativeHeight="251658240" behindDoc="0" locked="0" layoutInCell="1" allowOverlap="1" wp14:anchorId="12B3630B" wp14:editId="06EB4B3B">
            <wp:simplePos x="0" y="0"/>
            <wp:positionH relativeFrom="column">
              <wp:posOffset>0</wp:posOffset>
            </wp:positionH>
            <wp:positionV relativeFrom="paragraph">
              <wp:posOffset>538480</wp:posOffset>
            </wp:positionV>
            <wp:extent cx="2506345" cy="1495425"/>
            <wp:effectExtent l="0" t="0" r="8255" b="9525"/>
            <wp:wrapThrough wrapText="bothSides">
              <wp:wrapPolygon edited="0">
                <wp:start x="0" y="0"/>
                <wp:lineTo x="0" y="21462"/>
                <wp:lineTo x="21507" y="21462"/>
                <wp:lineTo x="21507" y="0"/>
                <wp:lineTo x="0" y="0"/>
              </wp:wrapPolygon>
            </wp:wrapThrough>
            <wp:docPr id="28" name="Picture 28" descr="C:\Users\Dini Rahmayanti\OneDrive\Pictures\Screenshot\2023-03-03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0" descr="C:\Users\Dini Rahmayanti\OneDrive\Pictures\Screenshot\2023-03-03 (4).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506345" cy="1495425"/>
                    </a:xfrm>
                    <a:prstGeom prst="rect">
                      <a:avLst/>
                    </a:prstGeom>
                    <a:noFill/>
                    <a:ln>
                      <a:noFill/>
                    </a:ln>
                  </pic:spPr>
                </pic:pic>
              </a:graphicData>
            </a:graphic>
            <wp14:sizeRelV relativeFrom="margin">
              <wp14:pctHeight>0</wp14:pctHeight>
            </wp14:sizeRelV>
          </wp:anchor>
        </w:drawing>
      </w:r>
      <w:r w:rsidRPr="00002900">
        <w:rPr>
          <w:rFonts w:ascii="Cambria" w:hAnsi="Cambria" w:cs="Tahoma"/>
          <w:b/>
          <w:sz w:val="24"/>
          <w:szCs w:val="24"/>
        </w:rPr>
        <w:t>Analysis of Impulse Response Function</w:t>
      </w:r>
    </w:p>
    <w:p w:rsidR="00407C9C" w:rsidRPr="00002900" w:rsidRDefault="00F35E8B" w:rsidP="002835E3">
      <w:pPr>
        <w:pStyle w:val="ListParagraph"/>
        <w:spacing w:after="0" w:line="360" w:lineRule="auto"/>
        <w:ind w:left="0" w:firstLine="720"/>
        <w:jc w:val="both"/>
        <w:rPr>
          <w:rFonts w:ascii="Cambria" w:hAnsi="Cambria" w:cs="Tahoma"/>
          <w:b/>
          <w:sz w:val="24"/>
          <w:szCs w:val="24"/>
        </w:rPr>
      </w:pPr>
      <w:r w:rsidRPr="00002900">
        <w:rPr>
          <w:rFonts w:ascii="Cambria" w:hAnsi="Cambria" w:cs="Tahoma"/>
          <w:noProof/>
          <w:sz w:val="24"/>
          <w:szCs w:val="24"/>
          <w:lang w:val="id-ID" w:eastAsia="id-ID"/>
        </w:rPr>
        <w:lastRenderedPageBreak/>
        <w:drawing>
          <wp:anchor distT="0" distB="0" distL="114300" distR="114300" simplePos="0" relativeHeight="251659264" behindDoc="0" locked="0" layoutInCell="1" allowOverlap="1">
            <wp:simplePos x="0" y="0"/>
            <wp:positionH relativeFrom="column">
              <wp:posOffset>2337435</wp:posOffset>
            </wp:positionH>
            <wp:positionV relativeFrom="paragraph">
              <wp:posOffset>290526</wp:posOffset>
            </wp:positionV>
            <wp:extent cx="2876550" cy="1644015"/>
            <wp:effectExtent l="0" t="0" r="0" b="0"/>
            <wp:wrapThrough wrapText="bothSides">
              <wp:wrapPolygon edited="0">
                <wp:start x="0" y="0"/>
                <wp:lineTo x="0" y="21275"/>
                <wp:lineTo x="21457" y="21275"/>
                <wp:lineTo x="21457" y="0"/>
                <wp:lineTo x="0" y="0"/>
              </wp:wrapPolygon>
            </wp:wrapThrough>
            <wp:docPr id="21" name="Picture 21" descr="C:\Users\Dini Rahmayanti\OneDrive\Pictures\Screenshot\2023-03-03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3" descr="C:\Users\Dini Rahmayanti\OneDrive\Pictures\Screenshot\2023-03-03 (6).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876550" cy="1644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6B58" w:rsidRPr="00002900" w:rsidRDefault="00F35E8B" w:rsidP="00142E3D">
      <w:pPr>
        <w:pStyle w:val="ListParagraph"/>
        <w:spacing w:after="0" w:line="360" w:lineRule="auto"/>
        <w:ind w:left="0" w:firstLine="720"/>
        <w:jc w:val="center"/>
        <w:rPr>
          <w:rFonts w:ascii="Cambria" w:hAnsi="Cambria" w:cs="Tahoma"/>
          <w:sz w:val="24"/>
          <w:szCs w:val="24"/>
        </w:rPr>
      </w:pPr>
      <w:r w:rsidRPr="00002900">
        <w:rPr>
          <w:rFonts w:ascii="Cambria" w:hAnsi="Cambria" w:cs="Tahoma"/>
          <w:noProof/>
          <w:sz w:val="24"/>
          <w:szCs w:val="24"/>
          <w:lang w:eastAsia="id-ID"/>
        </w:rPr>
        <w:t xml:space="preserve">         </w:t>
      </w:r>
    </w:p>
    <w:p w:rsidR="0007189C" w:rsidRPr="00002900" w:rsidRDefault="00F35E8B" w:rsidP="00142E3D">
      <w:pPr>
        <w:pStyle w:val="ListParagraph"/>
        <w:spacing w:after="0" w:line="360" w:lineRule="auto"/>
        <w:ind w:left="0" w:firstLine="720"/>
        <w:jc w:val="center"/>
        <w:rPr>
          <w:rFonts w:ascii="Cambria" w:hAnsi="Cambria" w:cs="Tahoma"/>
          <w:sz w:val="24"/>
          <w:szCs w:val="24"/>
        </w:rPr>
      </w:pPr>
      <w:r w:rsidRPr="00002900">
        <w:rPr>
          <w:rFonts w:ascii="Cambria" w:hAnsi="Cambria" w:cs="Tahoma"/>
          <w:noProof/>
          <w:sz w:val="24"/>
          <w:szCs w:val="24"/>
          <w:lang w:eastAsia="id-ID"/>
        </w:rPr>
        <w:t xml:space="preserve"> </w:t>
      </w:r>
    </w:p>
    <w:p w:rsidR="001B45C9" w:rsidRPr="00002900" w:rsidRDefault="000D0EC0" w:rsidP="002835E3">
      <w:pPr>
        <w:pStyle w:val="ListParagraph"/>
        <w:spacing w:after="0" w:line="360" w:lineRule="auto"/>
        <w:ind w:left="0" w:firstLine="720"/>
        <w:jc w:val="both"/>
        <w:rPr>
          <w:rFonts w:ascii="Cambria" w:hAnsi="Cambria" w:cs="Tahoma"/>
          <w:sz w:val="24"/>
          <w:szCs w:val="24"/>
        </w:rPr>
      </w:pPr>
      <w:r w:rsidRPr="00002900">
        <w:rPr>
          <w:rFonts w:ascii="Cambria" w:hAnsi="Cambria" w:cs="Tahoma"/>
          <w:noProof/>
          <w:sz w:val="24"/>
          <w:szCs w:val="24"/>
          <w:lang w:val="id-ID" w:eastAsia="id-ID"/>
        </w:rPr>
        <w:drawing>
          <wp:anchor distT="0" distB="0" distL="114300" distR="114300" simplePos="0" relativeHeight="251671552" behindDoc="0" locked="0" layoutInCell="1" allowOverlap="1" wp14:anchorId="0E39C028" wp14:editId="588D7707">
            <wp:simplePos x="0" y="0"/>
            <wp:positionH relativeFrom="column">
              <wp:posOffset>2532380</wp:posOffset>
            </wp:positionH>
            <wp:positionV relativeFrom="paragraph">
              <wp:posOffset>196718</wp:posOffset>
            </wp:positionV>
            <wp:extent cx="2720340" cy="1749425"/>
            <wp:effectExtent l="0" t="0" r="3810" b="3175"/>
            <wp:wrapThrough wrapText="bothSides">
              <wp:wrapPolygon edited="0">
                <wp:start x="0" y="0"/>
                <wp:lineTo x="0" y="21404"/>
                <wp:lineTo x="21479" y="21404"/>
                <wp:lineTo x="21479" y="0"/>
                <wp:lineTo x="0" y="0"/>
              </wp:wrapPolygon>
            </wp:wrapThrough>
            <wp:docPr id="11" name="Picture 11" descr="C:\Users\Dini Rahmayanti\OneDrive\Pictures\Screenshot\2023-03-03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6" descr="C:\Users\Dini Rahmayanti\OneDrive\Pictures\Screenshot\2023-03-03 (9).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20340" cy="174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2900">
        <w:rPr>
          <w:rFonts w:ascii="Cambria" w:hAnsi="Cambria" w:cs="Tahoma"/>
          <w:noProof/>
          <w:sz w:val="24"/>
          <w:szCs w:val="24"/>
          <w:lang w:val="id-ID" w:eastAsia="id-ID"/>
        </w:rPr>
        <w:drawing>
          <wp:anchor distT="0" distB="0" distL="114300" distR="114300" simplePos="0" relativeHeight="251669504" behindDoc="0" locked="0" layoutInCell="1" allowOverlap="1" wp14:anchorId="461C1FBC" wp14:editId="3FFA411E">
            <wp:simplePos x="0" y="0"/>
            <wp:positionH relativeFrom="column">
              <wp:posOffset>0</wp:posOffset>
            </wp:positionH>
            <wp:positionV relativeFrom="paragraph">
              <wp:posOffset>260985</wp:posOffset>
            </wp:positionV>
            <wp:extent cx="2473960" cy="1602740"/>
            <wp:effectExtent l="0" t="0" r="2540" b="0"/>
            <wp:wrapThrough wrapText="bothSides">
              <wp:wrapPolygon edited="0">
                <wp:start x="0" y="0"/>
                <wp:lineTo x="0" y="21309"/>
                <wp:lineTo x="21456" y="21309"/>
                <wp:lineTo x="21456" y="0"/>
                <wp:lineTo x="0" y="0"/>
              </wp:wrapPolygon>
            </wp:wrapThrough>
            <wp:docPr id="10" name="Picture 10" descr="C:\Users\Dini Rahmayanti\OneDrive\Pictures\Screenshot\2023-03-03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5" descr="C:\Users\Dini Rahmayanti\OneDrive\Pictures\Screenshot\2023-03-03 (8).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73960" cy="1602740"/>
                    </a:xfrm>
                    <a:prstGeom prst="rect">
                      <a:avLst/>
                    </a:prstGeom>
                    <a:noFill/>
                    <a:ln>
                      <a:noFill/>
                    </a:ln>
                  </pic:spPr>
                </pic:pic>
              </a:graphicData>
            </a:graphic>
          </wp:anchor>
        </w:drawing>
      </w:r>
    </w:p>
    <w:p w:rsidR="001B45C9" w:rsidRDefault="000D0EC0" w:rsidP="0079569F">
      <w:pPr>
        <w:pStyle w:val="ListParagraph"/>
        <w:spacing w:after="0" w:line="240" w:lineRule="auto"/>
        <w:ind w:left="0" w:firstLine="720"/>
        <w:jc w:val="both"/>
        <w:rPr>
          <w:rFonts w:ascii="Cambria" w:hAnsi="Cambria" w:cs="Tahoma"/>
          <w:sz w:val="24"/>
          <w:szCs w:val="24"/>
          <w:lang w:val="id-ID"/>
        </w:rPr>
      </w:pPr>
      <w:r w:rsidRPr="00002900">
        <w:rPr>
          <w:rFonts w:ascii="Cambria" w:hAnsi="Cambria" w:cs="Tahoma"/>
          <w:noProof/>
          <w:sz w:val="24"/>
          <w:szCs w:val="24"/>
          <w:lang w:val="id-ID" w:eastAsia="id-ID"/>
        </w:rPr>
        <w:drawing>
          <wp:anchor distT="0" distB="0" distL="114300" distR="114300" simplePos="0" relativeHeight="251667456" behindDoc="0" locked="0" layoutInCell="1" allowOverlap="1" wp14:anchorId="6025E00E" wp14:editId="28116BE1">
            <wp:simplePos x="0" y="0"/>
            <wp:positionH relativeFrom="column">
              <wp:posOffset>2529461</wp:posOffset>
            </wp:positionH>
            <wp:positionV relativeFrom="paragraph">
              <wp:posOffset>1830788</wp:posOffset>
            </wp:positionV>
            <wp:extent cx="2752725" cy="1828800"/>
            <wp:effectExtent l="0" t="0" r="9525" b="0"/>
            <wp:wrapThrough wrapText="bothSides">
              <wp:wrapPolygon edited="0">
                <wp:start x="0" y="0"/>
                <wp:lineTo x="0" y="21375"/>
                <wp:lineTo x="21525" y="21375"/>
                <wp:lineTo x="21525" y="0"/>
                <wp:lineTo x="0" y="0"/>
              </wp:wrapPolygon>
            </wp:wrapThrough>
            <wp:docPr id="13" name="Picture 13" descr="C:\Users\Dini Rahmayanti\OneDrive\Pictures\Screenshot\2023-03-03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C:\Users\Dini Rahmayanti\OneDrive\Pictures\Screenshot\2023-03-03 (13).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752725" cy="1828800"/>
                    </a:xfrm>
                    <a:prstGeom prst="rect">
                      <a:avLst/>
                    </a:prstGeom>
                    <a:noFill/>
                    <a:ln>
                      <a:noFill/>
                    </a:ln>
                  </pic:spPr>
                </pic:pic>
              </a:graphicData>
            </a:graphic>
            <wp14:sizeRelV relativeFrom="margin">
              <wp14:pctHeight>0</wp14:pctHeight>
            </wp14:sizeRelV>
          </wp:anchor>
        </w:drawing>
      </w:r>
      <w:r w:rsidRPr="00002900">
        <w:rPr>
          <w:rFonts w:ascii="Cambria" w:hAnsi="Cambria" w:cs="Tahoma"/>
          <w:noProof/>
          <w:sz w:val="24"/>
          <w:szCs w:val="24"/>
          <w:lang w:val="id-ID" w:eastAsia="id-ID"/>
        </w:rPr>
        <w:drawing>
          <wp:anchor distT="0" distB="0" distL="114300" distR="114300" simplePos="0" relativeHeight="251665408" behindDoc="0" locked="0" layoutInCell="1" allowOverlap="1" wp14:anchorId="1D7CF9DD" wp14:editId="5E8A6315">
            <wp:simplePos x="0" y="0"/>
            <wp:positionH relativeFrom="column">
              <wp:posOffset>-1698</wp:posOffset>
            </wp:positionH>
            <wp:positionV relativeFrom="paragraph">
              <wp:posOffset>1899722</wp:posOffset>
            </wp:positionV>
            <wp:extent cx="2721610" cy="1657350"/>
            <wp:effectExtent l="0" t="0" r="2540" b="0"/>
            <wp:wrapTopAndBottom/>
            <wp:docPr id="12" name="Picture 12" descr="C:\Users\Dini Rahmayanti\OneDrive\Pictures\Screenshot\2023-03-03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7" descr="C:\Users\Dini Rahmayanti\OneDrive\Pictures\Screenshot\2023-03-03 (10).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721610" cy="1657350"/>
                    </a:xfrm>
                    <a:prstGeom prst="rect">
                      <a:avLst/>
                    </a:prstGeom>
                    <a:noFill/>
                    <a:ln>
                      <a:noFill/>
                    </a:ln>
                  </pic:spPr>
                </pic:pic>
              </a:graphicData>
            </a:graphic>
            <wp14:sizeRelV relativeFrom="margin">
              <wp14:pctHeight>0</wp14:pctHeight>
            </wp14:sizeRelV>
          </wp:anchor>
        </w:drawing>
      </w:r>
    </w:p>
    <w:p w:rsidR="000D0EC0" w:rsidRDefault="000D0EC0" w:rsidP="00F97264">
      <w:pPr>
        <w:pStyle w:val="ListParagraph"/>
        <w:spacing w:after="0" w:line="240" w:lineRule="auto"/>
        <w:ind w:left="0" w:firstLine="720"/>
        <w:jc w:val="center"/>
        <w:rPr>
          <w:rFonts w:ascii="Cambria" w:hAnsi="Cambria" w:cs="Tahoma"/>
          <w:b/>
          <w:sz w:val="24"/>
          <w:szCs w:val="24"/>
          <w:lang w:val="id-ID"/>
        </w:rPr>
      </w:pPr>
      <w:r w:rsidRPr="00002900">
        <w:rPr>
          <w:rFonts w:ascii="Cambria" w:hAnsi="Cambria" w:cs="Tahoma"/>
          <w:noProof/>
          <w:sz w:val="24"/>
          <w:szCs w:val="24"/>
          <w:lang w:val="id-ID" w:eastAsia="id-ID"/>
        </w:rPr>
        <w:drawing>
          <wp:anchor distT="0" distB="0" distL="114300" distR="114300" simplePos="0" relativeHeight="251666432" behindDoc="0" locked="0" layoutInCell="1" allowOverlap="1" wp14:anchorId="5BBD6F63" wp14:editId="0D671C6F">
            <wp:simplePos x="0" y="0"/>
            <wp:positionH relativeFrom="column">
              <wp:posOffset>2475882</wp:posOffset>
            </wp:positionH>
            <wp:positionV relativeFrom="paragraph">
              <wp:posOffset>2041649</wp:posOffset>
            </wp:positionV>
            <wp:extent cx="2527935" cy="1733550"/>
            <wp:effectExtent l="0" t="0" r="5715" b="0"/>
            <wp:wrapTopAndBottom/>
            <wp:docPr id="5" name="Picture 5" descr="C:\Users\Dini Rahmayanti\OneDrive\Pictures\Screenshot\2023-03-03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8" descr="C:\Users\Dini Rahmayanti\OneDrive\Pictures\Screenshot\2023-03-03 (11).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527935" cy="1733550"/>
                    </a:xfrm>
                    <a:prstGeom prst="rect">
                      <a:avLst/>
                    </a:prstGeom>
                    <a:noFill/>
                    <a:ln>
                      <a:noFill/>
                    </a:ln>
                  </pic:spPr>
                </pic:pic>
              </a:graphicData>
            </a:graphic>
          </wp:anchor>
        </w:drawing>
      </w:r>
    </w:p>
    <w:p w:rsidR="000D0EC0" w:rsidRDefault="000D0EC0" w:rsidP="00F97264">
      <w:pPr>
        <w:pStyle w:val="ListParagraph"/>
        <w:spacing w:after="0" w:line="240" w:lineRule="auto"/>
        <w:ind w:left="0" w:firstLine="720"/>
        <w:jc w:val="center"/>
        <w:rPr>
          <w:rFonts w:ascii="Cambria" w:hAnsi="Cambria" w:cs="Tahoma"/>
          <w:b/>
          <w:sz w:val="24"/>
          <w:szCs w:val="24"/>
          <w:lang w:val="id-ID"/>
        </w:rPr>
      </w:pPr>
      <w:r w:rsidRPr="00002900">
        <w:rPr>
          <w:rFonts w:ascii="Cambria" w:hAnsi="Cambria" w:cs="Tahoma"/>
          <w:noProof/>
          <w:sz w:val="24"/>
          <w:szCs w:val="24"/>
          <w:lang w:val="id-ID" w:eastAsia="id-ID"/>
        </w:rPr>
        <w:drawing>
          <wp:anchor distT="0" distB="0" distL="114300" distR="114300" simplePos="0" relativeHeight="251664384" behindDoc="0" locked="0" layoutInCell="1" allowOverlap="1" wp14:anchorId="1220634D" wp14:editId="7F8E3A5D">
            <wp:simplePos x="0" y="0"/>
            <wp:positionH relativeFrom="column">
              <wp:posOffset>-2465</wp:posOffset>
            </wp:positionH>
            <wp:positionV relativeFrom="paragraph">
              <wp:posOffset>154404</wp:posOffset>
            </wp:positionV>
            <wp:extent cx="2656840" cy="1538605"/>
            <wp:effectExtent l="0" t="0" r="0" b="4445"/>
            <wp:wrapThrough wrapText="bothSides">
              <wp:wrapPolygon edited="0">
                <wp:start x="0" y="0"/>
                <wp:lineTo x="0" y="21395"/>
                <wp:lineTo x="21373" y="21395"/>
                <wp:lineTo x="21373" y="0"/>
                <wp:lineTo x="0" y="0"/>
              </wp:wrapPolygon>
            </wp:wrapThrough>
            <wp:docPr id="4" name="Picture 4" descr="C:\Users\Dini Rahmayanti\OneDrive\Pictures\Screenshot\2023-03-03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9" descr="C:\Users\Dini Rahmayanti\OneDrive\Pictures\Screenshot\2023-03-03 (12).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656840" cy="1538605"/>
                    </a:xfrm>
                    <a:prstGeom prst="rect">
                      <a:avLst/>
                    </a:prstGeom>
                    <a:noFill/>
                    <a:ln>
                      <a:noFill/>
                    </a:ln>
                  </pic:spPr>
                </pic:pic>
              </a:graphicData>
            </a:graphic>
          </wp:anchor>
        </w:drawing>
      </w:r>
    </w:p>
    <w:p w:rsidR="000D0EC0" w:rsidRDefault="000D0EC0" w:rsidP="00F97264">
      <w:pPr>
        <w:pStyle w:val="ListParagraph"/>
        <w:spacing w:after="0" w:line="240" w:lineRule="auto"/>
        <w:ind w:left="0" w:firstLine="720"/>
        <w:jc w:val="center"/>
        <w:rPr>
          <w:rFonts w:ascii="Cambria" w:hAnsi="Cambria" w:cs="Tahoma"/>
          <w:b/>
          <w:sz w:val="24"/>
          <w:szCs w:val="24"/>
          <w:lang w:val="id-ID"/>
        </w:rPr>
      </w:pPr>
    </w:p>
    <w:p w:rsidR="00F97264" w:rsidRPr="00F97264" w:rsidRDefault="00F97264" w:rsidP="00F97264">
      <w:pPr>
        <w:pStyle w:val="ListParagraph"/>
        <w:spacing w:after="0" w:line="240" w:lineRule="auto"/>
        <w:ind w:left="0" w:firstLine="720"/>
        <w:jc w:val="center"/>
        <w:rPr>
          <w:rFonts w:ascii="Cambria" w:hAnsi="Cambria" w:cs="Tahoma"/>
          <w:b/>
          <w:sz w:val="24"/>
          <w:szCs w:val="24"/>
          <w:lang w:val="id-ID"/>
        </w:rPr>
      </w:pPr>
      <w:r w:rsidRPr="00F97264">
        <w:rPr>
          <w:rFonts w:ascii="Cambria" w:hAnsi="Cambria" w:cs="Tahoma"/>
          <w:b/>
          <w:sz w:val="24"/>
          <w:szCs w:val="24"/>
          <w:lang w:val="id-ID"/>
        </w:rPr>
        <w:t>Figure 2. Impulse Respose Function</w:t>
      </w:r>
    </w:p>
    <w:p w:rsidR="00407C9C" w:rsidRPr="00002900" w:rsidRDefault="00407C9C" w:rsidP="0079569F">
      <w:pPr>
        <w:pStyle w:val="ListParagraph"/>
        <w:spacing w:after="0" w:line="240" w:lineRule="auto"/>
        <w:ind w:left="0" w:firstLine="720"/>
        <w:jc w:val="both"/>
        <w:rPr>
          <w:rFonts w:ascii="Cambria" w:hAnsi="Cambria" w:cs="Tahoma"/>
          <w:sz w:val="24"/>
          <w:szCs w:val="24"/>
        </w:rPr>
      </w:pPr>
    </w:p>
    <w:p w:rsidR="000D0EC0" w:rsidRDefault="000D0EC0" w:rsidP="0079569F">
      <w:pPr>
        <w:pStyle w:val="ListParagraph"/>
        <w:spacing w:after="0" w:line="360" w:lineRule="auto"/>
        <w:ind w:left="0" w:firstLine="720"/>
        <w:jc w:val="both"/>
        <w:rPr>
          <w:rFonts w:ascii="Cambria" w:hAnsi="Cambria" w:cs="Tahoma"/>
        </w:rPr>
      </w:pPr>
    </w:p>
    <w:p w:rsidR="000D0EC0" w:rsidRDefault="000D0EC0" w:rsidP="0079569F">
      <w:pPr>
        <w:pStyle w:val="ListParagraph"/>
        <w:spacing w:after="0" w:line="360" w:lineRule="auto"/>
        <w:ind w:left="0" w:firstLine="720"/>
        <w:jc w:val="both"/>
        <w:rPr>
          <w:rFonts w:ascii="Cambria" w:hAnsi="Cambria" w:cs="Tahoma"/>
        </w:rPr>
      </w:pPr>
    </w:p>
    <w:p w:rsidR="000D0EC0" w:rsidRDefault="000D0EC0" w:rsidP="0079569F">
      <w:pPr>
        <w:pStyle w:val="ListParagraph"/>
        <w:spacing w:after="0" w:line="360" w:lineRule="auto"/>
        <w:ind w:left="0" w:firstLine="720"/>
        <w:jc w:val="both"/>
        <w:rPr>
          <w:rFonts w:ascii="Cambria" w:hAnsi="Cambria" w:cs="Tahoma"/>
        </w:rPr>
      </w:pPr>
    </w:p>
    <w:p w:rsidR="000D0EC0" w:rsidRDefault="000D0EC0" w:rsidP="0079569F">
      <w:pPr>
        <w:pStyle w:val="ListParagraph"/>
        <w:spacing w:after="0" w:line="360" w:lineRule="auto"/>
        <w:ind w:left="0" w:firstLine="720"/>
        <w:jc w:val="both"/>
        <w:rPr>
          <w:rFonts w:ascii="Cambria" w:hAnsi="Cambria" w:cs="Tahoma"/>
        </w:rPr>
      </w:pPr>
    </w:p>
    <w:p w:rsidR="000D0EC0" w:rsidRDefault="000D0EC0" w:rsidP="0079569F">
      <w:pPr>
        <w:pStyle w:val="ListParagraph"/>
        <w:spacing w:after="0" w:line="360" w:lineRule="auto"/>
        <w:ind w:left="0" w:firstLine="720"/>
        <w:jc w:val="both"/>
        <w:rPr>
          <w:rFonts w:ascii="Cambria" w:hAnsi="Cambria" w:cs="Tahoma"/>
        </w:rPr>
      </w:pPr>
    </w:p>
    <w:p w:rsidR="0007189C" w:rsidRPr="00F97264" w:rsidRDefault="00F35E8B" w:rsidP="0079569F">
      <w:pPr>
        <w:pStyle w:val="ListParagraph"/>
        <w:spacing w:after="0" w:line="360" w:lineRule="auto"/>
        <w:ind w:left="0" w:firstLine="720"/>
        <w:jc w:val="both"/>
        <w:rPr>
          <w:rFonts w:ascii="Cambria" w:hAnsi="Cambria" w:cs="Tahoma"/>
        </w:rPr>
      </w:pPr>
      <w:r w:rsidRPr="00F97264">
        <w:rPr>
          <w:rFonts w:ascii="Cambria" w:hAnsi="Cambria" w:cs="Tahoma"/>
        </w:rPr>
        <w:lastRenderedPageBreak/>
        <w:t xml:space="preserve">It can be seen that the IRF plots above are for the next 10 months, in which the </w:t>
      </w:r>
      <w:proofErr w:type="gramStart"/>
      <w:r w:rsidRPr="00F97264">
        <w:rPr>
          <w:rFonts w:ascii="Cambria" w:hAnsi="Cambria" w:cs="Tahoma"/>
        </w:rPr>
        <w:t>variables</w:t>
      </w:r>
      <w:proofErr w:type="gramEnd"/>
      <w:r w:rsidRPr="00F97264">
        <w:rPr>
          <w:rFonts w:ascii="Cambria" w:hAnsi="Cambria" w:cs="Tahoma"/>
        </w:rPr>
        <w:t xml:space="preserve"> respond to shocks or shocks from other variables. The following is a response from Islamic banking financing for the next 10 months.</w:t>
      </w:r>
    </w:p>
    <w:p w:rsidR="00743C86" w:rsidRPr="00F97264" w:rsidRDefault="00F35E8B" w:rsidP="0079569F">
      <w:pPr>
        <w:pStyle w:val="ListParagraph"/>
        <w:spacing w:after="0" w:line="360" w:lineRule="auto"/>
        <w:ind w:left="0" w:firstLine="720"/>
        <w:jc w:val="both"/>
        <w:rPr>
          <w:rFonts w:ascii="Cambria" w:hAnsi="Cambria" w:cs="Tahoma"/>
        </w:rPr>
      </w:pPr>
      <w:r w:rsidRPr="00F97264">
        <w:rPr>
          <w:rFonts w:ascii="Cambria" w:hAnsi="Cambria" w:cs="Tahoma"/>
        </w:rPr>
        <w:t xml:space="preserve">The response from Financing to shocks from total assets in the second to fourth months has increased, but in the following months, the response from </w:t>
      </w:r>
      <w:proofErr w:type="gramStart"/>
      <w:r w:rsidRPr="00F97264">
        <w:rPr>
          <w:rFonts w:ascii="Cambria" w:hAnsi="Cambria" w:cs="Tahoma"/>
        </w:rPr>
        <w:t>Financing</w:t>
      </w:r>
      <w:proofErr w:type="gramEnd"/>
      <w:r w:rsidRPr="00F97264">
        <w:rPr>
          <w:rFonts w:ascii="Cambria" w:hAnsi="Cambria" w:cs="Tahoma"/>
        </w:rPr>
        <w:t xml:space="preserve"> to total assets weakened at a negative value point.</w:t>
      </w:r>
    </w:p>
    <w:p w:rsidR="00743C86" w:rsidRPr="00F97264" w:rsidRDefault="00F35E8B" w:rsidP="0079569F">
      <w:pPr>
        <w:pStyle w:val="ListParagraph"/>
        <w:spacing w:after="0" w:line="360" w:lineRule="auto"/>
        <w:ind w:left="0" w:firstLine="720"/>
        <w:jc w:val="both"/>
        <w:rPr>
          <w:rFonts w:ascii="Cambria" w:hAnsi="Cambria" w:cs="Tahoma"/>
        </w:rPr>
      </w:pPr>
      <w:r w:rsidRPr="00F97264">
        <w:rPr>
          <w:rFonts w:ascii="Cambria" w:hAnsi="Cambria" w:cs="Tahoma"/>
        </w:rPr>
        <w:t xml:space="preserve">The response of </w:t>
      </w:r>
      <w:proofErr w:type="gramStart"/>
      <w:r w:rsidRPr="00F97264">
        <w:rPr>
          <w:rFonts w:ascii="Cambria" w:hAnsi="Cambria" w:cs="Tahoma"/>
        </w:rPr>
        <w:t>Financing</w:t>
      </w:r>
      <w:proofErr w:type="gramEnd"/>
      <w:r w:rsidRPr="00F97264">
        <w:rPr>
          <w:rFonts w:ascii="Cambria" w:hAnsi="Cambria" w:cs="Tahoma"/>
        </w:rPr>
        <w:t xml:space="preserve"> to third-party fund shocks is negative. That is, if there is a shock of one standard deviation from TPF, Islamic banking financing will react negatively to TPF.</w:t>
      </w:r>
    </w:p>
    <w:p w:rsidR="002D7596" w:rsidRPr="00F97264" w:rsidRDefault="00F35E8B" w:rsidP="0079569F">
      <w:pPr>
        <w:spacing w:after="0" w:line="360" w:lineRule="auto"/>
        <w:jc w:val="both"/>
        <w:rPr>
          <w:rFonts w:ascii="Cambria" w:eastAsia="Times New Roman" w:hAnsi="Cambria" w:cs="Tahoma"/>
          <w:color w:val="000000"/>
          <w:lang w:val="en-US" w:eastAsia="id-ID"/>
        </w:rPr>
      </w:pPr>
      <w:r w:rsidRPr="00F97264">
        <w:rPr>
          <w:rFonts w:ascii="Cambria" w:eastAsia="Times New Roman" w:hAnsi="Cambria" w:cs="Tahoma"/>
          <w:color w:val="000000"/>
          <w:lang w:eastAsia="id-ID"/>
        </w:rPr>
        <w:tab/>
        <w:t xml:space="preserve">The response from Financing to </w:t>
      </w:r>
      <w:r w:rsidR="00F871E5" w:rsidRPr="00F97264">
        <w:rPr>
          <w:rFonts w:ascii="Cambria" w:eastAsia="Times New Roman" w:hAnsi="Cambria" w:cs="Tahoma"/>
          <w:color w:val="000000"/>
          <w:lang w:eastAsia="id-ID"/>
        </w:rPr>
        <w:t>the NOM shock was negative, and then months experienced a significant negative decline starting from the fourth month to the ninth month. If shocks occur to NOM, Financing will react negatively to NOM.</w:t>
      </w:r>
    </w:p>
    <w:p w:rsidR="00407C9C" w:rsidRPr="00F97264" w:rsidRDefault="00F35E8B" w:rsidP="0079569F">
      <w:pPr>
        <w:spacing w:after="0" w:line="360" w:lineRule="auto"/>
        <w:ind w:firstLine="720"/>
        <w:jc w:val="both"/>
        <w:rPr>
          <w:rFonts w:ascii="Cambria" w:eastAsia="Times New Roman" w:hAnsi="Cambria" w:cs="Tahoma"/>
          <w:color w:val="000000"/>
          <w:lang w:val="en-US" w:eastAsia="id-ID"/>
        </w:rPr>
      </w:pPr>
      <w:r w:rsidRPr="00F97264">
        <w:rPr>
          <w:rFonts w:ascii="Cambria" w:eastAsia="Times New Roman" w:hAnsi="Cambria" w:cs="Tahoma"/>
          <w:color w:val="000000"/>
          <w:lang w:eastAsia="id-ID"/>
        </w:rPr>
        <w:t xml:space="preserve">Response of Financing to </w:t>
      </w:r>
      <w:r w:rsidR="002D7596" w:rsidRPr="00F97264">
        <w:rPr>
          <w:rFonts w:ascii="Cambria" w:eastAsia="Times New Roman" w:hAnsi="Cambria" w:cs="Tahoma"/>
          <w:color w:val="000000"/>
          <w:lang w:val="en-US" w:eastAsia="id-ID"/>
        </w:rPr>
        <w:t>FDR shocks</w:t>
      </w:r>
      <w:r w:rsidR="00114717" w:rsidRPr="00F97264">
        <w:rPr>
          <w:rFonts w:ascii="Cambria" w:eastAsia="Times New Roman" w:hAnsi="Cambria" w:cs="Tahoma"/>
          <w:color w:val="000000"/>
          <w:lang w:eastAsia="id-ID"/>
        </w:rPr>
        <w:t xml:space="preserve"> </w:t>
      </w:r>
      <w:r w:rsidR="002D7596" w:rsidRPr="00F97264">
        <w:rPr>
          <w:rFonts w:ascii="Cambria" w:eastAsia="Times New Roman" w:hAnsi="Cambria" w:cs="Tahoma"/>
          <w:color w:val="000000"/>
          <w:lang w:val="en-US" w:eastAsia="id-ID"/>
        </w:rPr>
        <w:t>is positive from the first month to the fifth month, but in the sixth month and so on decreases towards the negative.</w:t>
      </w:r>
    </w:p>
    <w:p w:rsidR="00407C9C" w:rsidRPr="00F97264" w:rsidRDefault="00F35E8B" w:rsidP="0079569F">
      <w:pPr>
        <w:spacing w:after="0" w:line="360" w:lineRule="auto"/>
        <w:ind w:firstLine="720"/>
        <w:jc w:val="both"/>
        <w:rPr>
          <w:rFonts w:ascii="Cambria" w:eastAsia="Times New Roman" w:hAnsi="Cambria" w:cs="Tahoma"/>
          <w:color w:val="000000"/>
          <w:lang w:val="en-US" w:eastAsia="id-ID"/>
        </w:rPr>
      </w:pPr>
      <w:r w:rsidRPr="00F97264">
        <w:rPr>
          <w:rFonts w:ascii="Cambria" w:eastAsia="Times New Roman" w:hAnsi="Cambria" w:cs="Tahoma"/>
          <w:color w:val="000000"/>
          <w:lang w:val="en-US" w:eastAsia="id-ID"/>
        </w:rPr>
        <w:t xml:space="preserve">The response </w:t>
      </w:r>
      <w:r w:rsidR="00F40F89" w:rsidRPr="00F97264">
        <w:rPr>
          <w:rFonts w:ascii="Cambria" w:eastAsia="Times New Roman" w:hAnsi="Cambria" w:cs="Tahoma"/>
          <w:color w:val="000000"/>
          <w:lang w:eastAsia="id-ID"/>
        </w:rPr>
        <w:t xml:space="preserve">from Financing to </w:t>
      </w:r>
      <w:r w:rsidRPr="00F97264">
        <w:rPr>
          <w:rFonts w:ascii="Cambria" w:eastAsia="Times New Roman" w:hAnsi="Cambria" w:cs="Tahoma"/>
          <w:color w:val="000000"/>
          <w:lang w:val="en-US" w:eastAsia="id-ID"/>
        </w:rPr>
        <w:t xml:space="preserve">NPF shocks </w:t>
      </w:r>
      <w:r w:rsidRPr="00F97264">
        <w:rPr>
          <w:rFonts w:ascii="Cambria" w:eastAsia="Times New Roman" w:hAnsi="Cambria" w:cs="Tahoma"/>
          <w:color w:val="000000"/>
          <w:lang w:eastAsia="id-ID"/>
        </w:rPr>
        <w:t xml:space="preserve">has decreased significantly, starting from the first month and continuing to be negative until the tenth month. The shocks </w:t>
      </w:r>
      <w:r w:rsidRPr="00F97264">
        <w:rPr>
          <w:rFonts w:ascii="Cambria" w:eastAsia="Times New Roman" w:hAnsi="Cambria" w:cs="Tahoma"/>
          <w:color w:val="000000"/>
          <w:lang w:val="en-US" w:eastAsia="id-ID"/>
        </w:rPr>
        <w:t>that occur in the NPF will be responded to negatively for months to come by Financing.</w:t>
      </w:r>
    </w:p>
    <w:p w:rsidR="00407C9C" w:rsidRPr="00F97264" w:rsidRDefault="00F35E8B" w:rsidP="0079569F">
      <w:pPr>
        <w:spacing w:after="0" w:line="360" w:lineRule="auto"/>
        <w:ind w:firstLine="720"/>
        <w:jc w:val="both"/>
        <w:rPr>
          <w:rFonts w:ascii="Cambria" w:eastAsia="Times New Roman" w:hAnsi="Cambria" w:cs="Tahoma"/>
          <w:color w:val="000000"/>
          <w:lang w:val="en-US" w:eastAsia="id-ID"/>
        </w:rPr>
      </w:pPr>
      <w:r w:rsidRPr="00F97264">
        <w:rPr>
          <w:rFonts w:ascii="Cambria" w:eastAsia="Times New Roman" w:hAnsi="Cambria" w:cs="Tahoma"/>
          <w:color w:val="000000"/>
          <w:lang w:eastAsia="id-ID"/>
        </w:rPr>
        <w:t xml:space="preserve">The response from Financing to </w:t>
      </w:r>
      <w:r w:rsidRPr="00F97264">
        <w:rPr>
          <w:rFonts w:ascii="Cambria" w:eastAsia="Times New Roman" w:hAnsi="Cambria" w:cs="Tahoma"/>
          <w:color w:val="000000"/>
          <w:lang w:val="en-US" w:eastAsia="id-ID"/>
        </w:rPr>
        <w:t xml:space="preserve">ROA shocks </w:t>
      </w:r>
      <w:r w:rsidR="00114717" w:rsidRPr="00F97264">
        <w:rPr>
          <w:rFonts w:ascii="Cambria" w:eastAsia="Times New Roman" w:hAnsi="Cambria" w:cs="Tahoma"/>
          <w:color w:val="000000"/>
          <w:lang w:eastAsia="id-ID"/>
        </w:rPr>
        <w:t xml:space="preserve">in </w:t>
      </w:r>
      <w:r w:rsidRPr="00F97264">
        <w:rPr>
          <w:rFonts w:ascii="Cambria" w:eastAsia="Times New Roman" w:hAnsi="Cambria" w:cs="Tahoma"/>
          <w:color w:val="000000"/>
          <w:lang w:val="en-US" w:eastAsia="id-ID"/>
        </w:rPr>
        <w:t>the first month responded positively, but in the third month, it continued to decline.</w:t>
      </w:r>
      <w:r w:rsidR="00114717" w:rsidRPr="00F97264">
        <w:rPr>
          <w:rFonts w:ascii="Cambria" w:eastAsia="Times New Roman" w:hAnsi="Cambria" w:cs="Tahoma"/>
          <w:color w:val="000000"/>
          <w:lang w:eastAsia="id-ID"/>
        </w:rPr>
        <w:t xml:space="preserve"> </w:t>
      </w:r>
    </w:p>
    <w:p w:rsidR="0079569F" w:rsidRPr="00F97264" w:rsidRDefault="00F35E8B" w:rsidP="00BD7C90">
      <w:pPr>
        <w:spacing w:after="0" w:line="360" w:lineRule="auto"/>
        <w:ind w:firstLine="720"/>
        <w:jc w:val="both"/>
        <w:rPr>
          <w:rFonts w:ascii="Cambria" w:eastAsia="Times New Roman" w:hAnsi="Cambria" w:cs="Tahoma"/>
          <w:color w:val="000000"/>
          <w:lang w:val="en-US" w:eastAsia="id-ID"/>
        </w:rPr>
      </w:pPr>
      <w:r w:rsidRPr="00F97264">
        <w:rPr>
          <w:rFonts w:ascii="Cambria" w:eastAsia="Times New Roman" w:hAnsi="Cambria" w:cs="Tahoma"/>
          <w:color w:val="000000"/>
          <w:lang w:eastAsia="id-ID"/>
        </w:rPr>
        <w:t xml:space="preserve">The response from financing to ERPMUDH shocks, </w:t>
      </w:r>
      <w:r w:rsidRPr="00F97264">
        <w:rPr>
          <w:rFonts w:ascii="Cambria" w:eastAsia="Times New Roman" w:hAnsi="Cambria" w:cs="Tahoma"/>
          <w:color w:val="000000"/>
          <w:lang w:val="en-US" w:eastAsia="id-ID"/>
        </w:rPr>
        <w:t>where the shocks that occurred were responded to by financing with a fluctuating value but not significant, where the direction of this response was positive at the beginning, but in the middle of the year, it experienced a negative value.</w:t>
      </w:r>
    </w:p>
    <w:p w:rsidR="00114717" w:rsidRPr="00F97264" w:rsidRDefault="00F35E8B" w:rsidP="00BD7C90">
      <w:pPr>
        <w:spacing w:after="0" w:line="360" w:lineRule="auto"/>
        <w:ind w:firstLine="720"/>
        <w:jc w:val="both"/>
        <w:rPr>
          <w:rFonts w:ascii="Cambria" w:eastAsia="Times New Roman" w:hAnsi="Cambria" w:cs="Tahoma"/>
          <w:color w:val="000000"/>
          <w:lang w:val="en-US" w:eastAsia="id-ID"/>
        </w:rPr>
      </w:pPr>
      <w:r w:rsidRPr="00F97264">
        <w:rPr>
          <w:rFonts w:ascii="Cambria" w:eastAsia="Times New Roman" w:hAnsi="Cambria" w:cs="Tahoma"/>
          <w:color w:val="000000"/>
          <w:lang w:eastAsia="id-ID"/>
        </w:rPr>
        <w:t>The response from Financing to ERPMUSY shocks</w:t>
      </w:r>
      <w:r w:rsidR="00407C9C" w:rsidRPr="00F97264">
        <w:rPr>
          <w:rFonts w:ascii="Cambria" w:eastAsia="Times New Roman" w:hAnsi="Cambria" w:cs="Tahoma"/>
          <w:color w:val="000000"/>
          <w:lang w:val="en-US" w:eastAsia="id-ID"/>
        </w:rPr>
        <w:t xml:space="preserve"> can be seen in the picture where Financing has a negative response in the long term.</w:t>
      </w:r>
    </w:p>
    <w:p w:rsidR="00114717" w:rsidRPr="00F97264" w:rsidRDefault="00F35E8B" w:rsidP="00BD7C90">
      <w:pPr>
        <w:pStyle w:val="ListParagraph"/>
        <w:spacing w:after="0" w:line="360" w:lineRule="auto"/>
        <w:ind w:left="0" w:firstLine="720"/>
        <w:jc w:val="both"/>
        <w:rPr>
          <w:rFonts w:ascii="Cambria" w:eastAsia="Times New Roman" w:hAnsi="Cambria" w:cs="Tahoma"/>
          <w:color w:val="000000"/>
          <w:lang w:val="en-US" w:eastAsia="id-ID"/>
        </w:rPr>
      </w:pPr>
      <w:r w:rsidRPr="00F97264">
        <w:rPr>
          <w:rFonts w:ascii="Cambria" w:eastAsia="Times New Roman" w:hAnsi="Cambria" w:cs="Tahoma"/>
          <w:color w:val="000000"/>
          <w:lang w:eastAsia="id-ID"/>
        </w:rPr>
        <w:t xml:space="preserve">The response from Financing to the </w:t>
      </w:r>
      <w:proofErr w:type="spellStart"/>
      <w:r w:rsidRPr="00F97264">
        <w:rPr>
          <w:rFonts w:ascii="Cambria" w:eastAsia="Times New Roman" w:hAnsi="Cambria" w:cs="Tahoma"/>
          <w:color w:val="000000"/>
          <w:lang w:eastAsia="id-ID"/>
        </w:rPr>
        <w:t>Birate</w:t>
      </w:r>
      <w:proofErr w:type="spellEnd"/>
      <w:r w:rsidRPr="00F97264">
        <w:rPr>
          <w:rFonts w:ascii="Cambria" w:eastAsia="Times New Roman" w:hAnsi="Cambria" w:cs="Tahoma"/>
          <w:color w:val="000000"/>
          <w:lang w:eastAsia="id-ID"/>
        </w:rPr>
        <w:t xml:space="preserve"> shock </w:t>
      </w:r>
      <w:r w:rsidR="0079569F" w:rsidRPr="00F97264">
        <w:rPr>
          <w:rFonts w:ascii="Cambria" w:eastAsia="Times New Roman" w:hAnsi="Cambria" w:cs="Tahoma"/>
          <w:color w:val="000000"/>
          <w:lang w:val="en-US" w:eastAsia="id-ID"/>
        </w:rPr>
        <w:t xml:space="preserve">was at a negative point, continuing to experience a significant decline every month. Likewise, with </w:t>
      </w:r>
      <w:r w:rsidRPr="00F97264">
        <w:rPr>
          <w:rFonts w:ascii="Cambria" w:eastAsia="Times New Roman" w:hAnsi="Cambria" w:cs="Tahoma"/>
          <w:color w:val="000000"/>
          <w:lang w:eastAsia="id-ID"/>
        </w:rPr>
        <w:t>the response from Financing to inflation shocks</w:t>
      </w:r>
      <w:r w:rsidR="0079569F" w:rsidRPr="00F97264">
        <w:rPr>
          <w:rFonts w:ascii="Cambria" w:eastAsia="Times New Roman" w:hAnsi="Cambria" w:cs="Tahoma"/>
          <w:color w:val="000000"/>
          <w:lang w:val="en-US" w:eastAsia="id-ID"/>
        </w:rPr>
        <w:t>, the response that is not too prominent is significant, only in limits.</w:t>
      </w:r>
    </w:p>
    <w:p w:rsidR="0007189C" w:rsidRPr="00F97264" w:rsidRDefault="0007189C" w:rsidP="00BD7C90">
      <w:pPr>
        <w:pStyle w:val="ListParagraph"/>
        <w:spacing w:after="0" w:line="360" w:lineRule="auto"/>
        <w:ind w:left="0" w:firstLine="720"/>
        <w:jc w:val="both"/>
        <w:rPr>
          <w:rFonts w:ascii="Cambria" w:hAnsi="Cambria" w:cs="Tahoma"/>
        </w:rPr>
      </w:pPr>
    </w:p>
    <w:p w:rsidR="00654B98" w:rsidRPr="00F97264" w:rsidRDefault="00F35E8B" w:rsidP="00F97264">
      <w:pPr>
        <w:pStyle w:val="ListParagraph"/>
        <w:spacing w:after="0" w:line="360" w:lineRule="auto"/>
        <w:ind w:left="0"/>
        <w:jc w:val="both"/>
        <w:rPr>
          <w:rFonts w:ascii="Cambria" w:hAnsi="Cambria" w:cs="Tahoma"/>
          <w:b/>
        </w:rPr>
      </w:pPr>
      <w:r w:rsidRPr="00F97264">
        <w:rPr>
          <w:rFonts w:ascii="Cambria" w:hAnsi="Cambria" w:cs="Tahoma"/>
          <w:b/>
        </w:rPr>
        <w:t>Conclusion</w:t>
      </w:r>
    </w:p>
    <w:p w:rsidR="00206B58" w:rsidRPr="00F97264" w:rsidRDefault="00F35E8B" w:rsidP="00BD7C90">
      <w:pPr>
        <w:pStyle w:val="ListParagraph"/>
        <w:spacing w:after="0" w:line="360" w:lineRule="auto"/>
        <w:ind w:left="0"/>
        <w:jc w:val="both"/>
        <w:rPr>
          <w:rFonts w:ascii="Cambria" w:hAnsi="Cambria" w:cs="Tahoma"/>
        </w:rPr>
      </w:pPr>
      <w:r w:rsidRPr="00F97264">
        <w:rPr>
          <w:rFonts w:ascii="Cambria" w:hAnsi="Cambria" w:cs="Tahoma"/>
        </w:rPr>
        <w:tab/>
        <w:t>Based on the results of research using the VECM method and referring to the discussion that has been described in the previous description, the conclusions are obtained:</w:t>
      </w:r>
    </w:p>
    <w:p w:rsidR="0063180E" w:rsidRPr="00F97264" w:rsidRDefault="00F35E8B" w:rsidP="00BD7C90">
      <w:pPr>
        <w:pStyle w:val="ListParagraph"/>
        <w:spacing w:after="0" w:line="360" w:lineRule="auto"/>
        <w:ind w:left="0"/>
        <w:jc w:val="both"/>
        <w:rPr>
          <w:rFonts w:ascii="Cambria" w:hAnsi="Cambria" w:cs="Tahoma"/>
        </w:rPr>
      </w:pPr>
      <w:r w:rsidRPr="00F97264">
        <w:rPr>
          <w:rFonts w:ascii="Cambria" w:hAnsi="Cambria" w:cs="Tahoma"/>
        </w:rPr>
        <w:tab/>
        <w:t xml:space="preserve">Based on short-term estimates of DPK, NOM, ERPMUDH, and Inflation have a significant effect on Financing. Based on the long lag test, lag 3 is selected on lag 1 or 2. </w:t>
      </w:r>
      <w:r w:rsidR="00BD7C90" w:rsidRPr="00F97264">
        <w:rPr>
          <w:rFonts w:ascii="Cambria" w:hAnsi="Cambria" w:cs="Tahoma"/>
        </w:rPr>
        <w:t xml:space="preserve">That </w:t>
      </w:r>
      <w:r w:rsidR="00BD7C90" w:rsidRPr="00F97264">
        <w:rPr>
          <w:rFonts w:ascii="Cambria" w:hAnsi="Cambria" w:cs="Tahoma"/>
        </w:rPr>
        <w:lastRenderedPageBreak/>
        <w:t>is, an increase or decrease in the variables above can be felt in effect on direct Islamic banking financing in short-term relationships.</w:t>
      </w:r>
    </w:p>
    <w:p w:rsidR="00BD7C90" w:rsidRPr="00F97264" w:rsidRDefault="00F35E8B" w:rsidP="00E0411C">
      <w:pPr>
        <w:pStyle w:val="ListParagraph"/>
        <w:spacing w:after="0" w:line="360" w:lineRule="auto"/>
        <w:ind w:left="0" w:firstLine="720"/>
        <w:jc w:val="both"/>
        <w:rPr>
          <w:rFonts w:ascii="Cambria" w:hAnsi="Cambria" w:cs="Tahoma"/>
        </w:rPr>
      </w:pPr>
      <w:r w:rsidRPr="00F97264">
        <w:rPr>
          <w:rFonts w:ascii="Cambria" w:hAnsi="Cambria" w:cs="Tahoma"/>
        </w:rPr>
        <w:t>Likewise, the results of the Impulse Response Function, which in this study wanted to see the reaction of Islamic banking financing due to the shock of the variables used in the study. If seen from the IRF image, the response is felt only at ten months, so it's not too long. In this case, Islamic Financing responds a lot in a negative direction as a result of the shocks that occur in each variable.</w:t>
      </w:r>
    </w:p>
    <w:p w:rsidR="00E0411C" w:rsidRPr="00F97264" w:rsidRDefault="00F35E8B" w:rsidP="0003688F">
      <w:pPr>
        <w:pStyle w:val="ListParagraph"/>
        <w:spacing w:after="0" w:line="360" w:lineRule="auto"/>
        <w:ind w:left="0" w:firstLine="720"/>
        <w:jc w:val="both"/>
        <w:rPr>
          <w:rFonts w:ascii="Cambria" w:eastAsia="Times New Roman" w:hAnsi="Cambria" w:cs="Tahoma"/>
          <w:color w:val="000000"/>
          <w:lang w:eastAsia="id-ID"/>
        </w:rPr>
      </w:pPr>
      <w:r w:rsidRPr="00F97264">
        <w:rPr>
          <w:rFonts w:ascii="Cambria" w:hAnsi="Cambria" w:cs="Tahoma"/>
        </w:rPr>
        <w:t xml:space="preserve">Based on long-term estimates, the increase or decrease in </w:t>
      </w:r>
      <w:r w:rsidR="0003688F" w:rsidRPr="00F97264">
        <w:rPr>
          <w:rFonts w:ascii="Cambria" w:eastAsia="Times New Roman" w:hAnsi="Cambria" w:cs="Tahoma"/>
          <w:color w:val="000000"/>
          <w:lang w:eastAsia="id-ID"/>
        </w:rPr>
        <w:t xml:space="preserve">the DPK, NOM, ROA, NPF, ERP MUSH, BIRATE, and INFLATION variables can </w:t>
      </w:r>
      <w:r w:rsidRPr="00F97264">
        <w:rPr>
          <w:rFonts w:ascii="Cambria" w:hAnsi="Cambria" w:cs="Tahoma"/>
        </w:rPr>
        <w:t xml:space="preserve">be felt directly </w:t>
      </w:r>
      <w:r w:rsidR="0003688F" w:rsidRPr="00F97264">
        <w:rPr>
          <w:rFonts w:ascii="Cambria" w:eastAsia="Times New Roman" w:hAnsi="Cambria" w:cs="Tahoma"/>
          <w:color w:val="000000"/>
          <w:lang w:eastAsia="id-ID"/>
        </w:rPr>
        <w:t>by Islamic banking financing, and the perceived impact is long-term. Therefore, Islamic banking needs to carry out supervision and resolution of the internal influence of each bank and also the macro influence that can be felt in the long term, its influence on Islamic banking financing.</w:t>
      </w:r>
    </w:p>
    <w:p w:rsidR="0003688F" w:rsidRPr="00F97264" w:rsidRDefault="00F35E8B" w:rsidP="0003688F">
      <w:pPr>
        <w:pStyle w:val="ListParagraph"/>
        <w:spacing w:after="0" w:line="360" w:lineRule="auto"/>
        <w:ind w:left="0" w:firstLine="720"/>
        <w:jc w:val="both"/>
        <w:rPr>
          <w:rFonts w:ascii="Cambria" w:hAnsi="Cambria" w:cs="Tahoma"/>
        </w:rPr>
      </w:pPr>
      <w:r w:rsidRPr="00F97264">
        <w:rPr>
          <w:rFonts w:ascii="Cambria" w:eastAsia="Times New Roman" w:hAnsi="Cambria" w:cs="Tahoma"/>
          <w:color w:val="000000"/>
          <w:lang w:eastAsia="id-ID"/>
        </w:rPr>
        <w:t xml:space="preserve">Furthermore, based on the Granger causality test in this study, where </w:t>
      </w:r>
      <w:r w:rsidRPr="00F97264">
        <w:rPr>
          <w:rFonts w:ascii="Cambria" w:hAnsi="Cambria" w:cs="Tahoma"/>
        </w:rPr>
        <w:t>the causality relationship formed between the variables used is unidirectional. Thus, changes that occur between one variable and another variable are responded to without any reciprocal relationship.</w:t>
      </w:r>
    </w:p>
    <w:p w:rsidR="00B62222" w:rsidRPr="00002900" w:rsidRDefault="00B62222" w:rsidP="00B62222">
      <w:pPr>
        <w:pStyle w:val="ListParagraph"/>
        <w:spacing w:after="0" w:line="360" w:lineRule="auto"/>
        <w:ind w:left="0"/>
        <w:rPr>
          <w:rFonts w:ascii="Cambria" w:hAnsi="Cambria" w:cs="Tahoma"/>
          <w:sz w:val="24"/>
          <w:szCs w:val="24"/>
        </w:rPr>
      </w:pPr>
    </w:p>
    <w:p w:rsidR="008847ED" w:rsidRPr="00F97264" w:rsidRDefault="00F97264" w:rsidP="00A13407">
      <w:pPr>
        <w:pStyle w:val="ListParagraph"/>
        <w:spacing w:after="0" w:line="360" w:lineRule="auto"/>
        <w:ind w:left="0"/>
        <w:rPr>
          <w:rFonts w:ascii="Cambria" w:hAnsi="Cambria" w:cs="Tahoma"/>
          <w:b/>
          <w:sz w:val="24"/>
          <w:szCs w:val="24"/>
          <w:lang w:val="id-ID"/>
        </w:rPr>
      </w:pPr>
      <w:r>
        <w:rPr>
          <w:rFonts w:ascii="Cambria" w:hAnsi="Cambria" w:cs="Tahoma"/>
          <w:b/>
          <w:sz w:val="24"/>
          <w:szCs w:val="24"/>
          <w:lang w:val="id-ID"/>
        </w:rPr>
        <w:t>References</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sz w:val="24"/>
          <w:szCs w:val="24"/>
        </w:rPr>
        <w:fldChar w:fldCharType="begin" w:fldLock="1"/>
      </w:r>
      <w:r w:rsidRPr="00002900">
        <w:rPr>
          <w:rFonts w:ascii="Cambria" w:hAnsi="Cambria" w:cs="Tahoma"/>
          <w:sz w:val="24"/>
          <w:szCs w:val="24"/>
        </w:rPr>
        <w:instrText xml:space="preserve">ADDIN Mendeley Bibliography CSL_BIBLIOGRAPHY </w:instrText>
      </w:r>
      <w:r w:rsidRPr="00002900">
        <w:rPr>
          <w:rFonts w:ascii="Cambria" w:hAnsi="Cambria" w:cs="Tahoma"/>
          <w:sz w:val="24"/>
          <w:szCs w:val="24"/>
        </w:rPr>
        <w:fldChar w:fldCharType="separate"/>
      </w:r>
      <w:r w:rsidRPr="00002900">
        <w:rPr>
          <w:rFonts w:ascii="Cambria" w:hAnsi="Cambria" w:cs="Tahoma"/>
          <w:noProof/>
          <w:sz w:val="24"/>
          <w:szCs w:val="24"/>
        </w:rPr>
        <w:t xml:space="preserve">Adzimatinur, F., Hartoyo, S., &amp; Wiliasih, R. (2013). Factors Affecting The Amount of Financing Islamic Banking in Indonesia. </w:t>
      </w:r>
      <w:r w:rsidRPr="00002900">
        <w:rPr>
          <w:rFonts w:ascii="Cambria" w:hAnsi="Cambria" w:cs="Tahoma"/>
          <w:i/>
          <w:iCs/>
          <w:noProof/>
          <w:sz w:val="24"/>
          <w:szCs w:val="24"/>
        </w:rPr>
        <w:t xml:space="preserve">Journal of Al-Muzara'ah </w:t>
      </w:r>
      <w:r w:rsidRPr="00002900">
        <w:rPr>
          <w:rFonts w:ascii="Cambria" w:hAnsi="Cambria" w:cs="Tahoma"/>
          <w:noProof/>
          <w:sz w:val="24"/>
          <w:szCs w:val="24"/>
        </w:rPr>
        <w:t>, 106–121.</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Andraeny, D. (2011). Analysis of the Influence of Third Party Funds, Profit Sharing Levels and Non-Performing Financing on the Volume of Profit Sharing-based Financing in Islamic Banking in Indonesia. </w:t>
      </w:r>
      <w:r w:rsidRPr="00002900">
        <w:rPr>
          <w:rFonts w:ascii="Cambria" w:hAnsi="Cambria" w:cs="Tahoma"/>
          <w:i/>
          <w:iCs/>
          <w:noProof/>
          <w:sz w:val="24"/>
          <w:szCs w:val="24"/>
        </w:rPr>
        <w:t>Xiv Aceh National Symposium on Accounting 2011</w:t>
      </w:r>
      <w:r w:rsidRPr="00002900">
        <w:rPr>
          <w:rFonts w:ascii="Cambria" w:hAnsi="Cambria" w:cs="Tahoma"/>
          <w:noProof/>
          <w:sz w:val="24"/>
          <w:szCs w:val="24"/>
        </w:rPr>
        <w:t>, pp. 1–25.</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Antonio, MS (2001). </w:t>
      </w:r>
      <w:r w:rsidRPr="00002900">
        <w:rPr>
          <w:rFonts w:ascii="Cambria" w:hAnsi="Cambria" w:cs="Tahoma"/>
          <w:i/>
          <w:iCs/>
          <w:noProof/>
          <w:sz w:val="24"/>
          <w:szCs w:val="24"/>
        </w:rPr>
        <w:t>Islamic Banks and Practices</w:t>
      </w:r>
      <w:r w:rsidRPr="00002900">
        <w:rPr>
          <w:rFonts w:ascii="Cambria" w:hAnsi="Cambria" w:cs="Tahoma"/>
          <w:noProof/>
          <w:sz w:val="24"/>
          <w:szCs w:val="24"/>
        </w:rPr>
        <w:t>. Human Echo.</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Apriliani, W., Azizah, SN, Santoso, SB, &amp; Hapsari, I. (2021). </w:t>
      </w:r>
      <w:r w:rsidRPr="00002900">
        <w:rPr>
          <w:rFonts w:ascii="Cambria" w:hAnsi="Cambria" w:cs="Tahoma"/>
          <w:i/>
          <w:iCs/>
          <w:noProof/>
          <w:sz w:val="24"/>
          <w:szCs w:val="24"/>
        </w:rPr>
        <w:t xml:space="preserve">ANALYSIS OF THE EFFECT OF TPF, CAR, NPL, AND INFLATION AND BI RATE ON LOAN DISTRIBUTION (Empirical Study on Commercial Banks Listed on the Indonesia Stock Exchange for the Period 2017-2019) </w:t>
      </w:r>
      <w:r w:rsidRPr="00002900">
        <w:rPr>
          <w:rFonts w:ascii="Cambria" w:hAnsi="Cambria" w:cs="Tahoma"/>
          <w:noProof/>
          <w:sz w:val="24"/>
          <w:szCs w:val="24"/>
        </w:rPr>
        <w:t xml:space="preserve">. </w:t>
      </w:r>
      <w:r w:rsidRPr="00002900">
        <w:rPr>
          <w:rFonts w:ascii="Cambria" w:hAnsi="Cambria" w:cs="Tahoma"/>
          <w:i/>
          <w:iCs/>
          <w:noProof/>
          <w:sz w:val="24"/>
          <w:szCs w:val="24"/>
        </w:rPr>
        <w:t xml:space="preserve">2 </w:t>
      </w:r>
      <w:r w:rsidRPr="00002900">
        <w:rPr>
          <w:rFonts w:ascii="Cambria" w:hAnsi="Cambria" w:cs="Tahoma"/>
          <w:noProof/>
          <w:sz w:val="24"/>
          <w:szCs w:val="24"/>
        </w:rPr>
        <w:t>(2), 26–34.</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Arbi, H., Ahmadsyah, I., &amp; Zainul, ZR (2019). The Influence of Non-Performing Financing (NPF), Financing To Deposit Ratio (FDR), and Conventional Bank Deposit Interest Rates on Mudharabah Financing at Syari'Ah Commercial Banks in Aceh. </w:t>
      </w:r>
      <w:r w:rsidRPr="00002900">
        <w:rPr>
          <w:rFonts w:ascii="Cambria" w:hAnsi="Cambria" w:cs="Tahoma"/>
          <w:i/>
          <w:iCs/>
          <w:noProof/>
          <w:sz w:val="24"/>
          <w:szCs w:val="24"/>
        </w:rPr>
        <w:t>JIHBIZ</w:t>
      </w:r>
      <w:r w:rsidRPr="00002900">
        <w:rPr>
          <w:rFonts w:ascii="Cambria" w:hAnsi="Cambria" w:cs="Times New Roman"/>
          <w:i/>
          <w:iCs/>
          <w:noProof/>
          <w:sz w:val="24"/>
          <w:szCs w:val="24"/>
        </w:rPr>
        <w:t> </w:t>
      </w:r>
      <w:r w:rsidRPr="00002900">
        <w:rPr>
          <w:rFonts w:ascii="Cambria" w:hAnsi="Cambria" w:cs="Tahoma"/>
          <w:i/>
          <w:iCs/>
          <w:noProof/>
          <w:sz w:val="24"/>
          <w:szCs w:val="24"/>
        </w:rPr>
        <w:t xml:space="preserve">: Global Journal of Islamic Banking and Finance. </w:t>
      </w:r>
      <w:r w:rsidRPr="00002900">
        <w:rPr>
          <w:rFonts w:ascii="Cambria" w:hAnsi="Cambria" w:cs="Tahoma"/>
          <w:noProof/>
          <w:sz w:val="24"/>
          <w:szCs w:val="24"/>
        </w:rPr>
        <w:t xml:space="preserve">, </w:t>
      </w:r>
      <w:r w:rsidRPr="00002900">
        <w:rPr>
          <w:rFonts w:ascii="Cambria" w:hAnsi="Cambria" w:cs="Tahoma"/>
          <w:i/>
          <w:iCs/>
          <w:noProof/>
          <w:sz w:val="24"/>
          <w:szCs w:val="24"/>
        </w:rPr>
        <w:t xml:space="preserve">1 </w:t>
      </w:r>
      <w:r w:rsidRPr="00002900">
        <w:rPr>
          <w:rFonts w:ascii="Cambria" w:hAnsi="Cambria" w:cs="Tahoma"/>
          <w:noProof/>
          <w:sz w:val="24"/>
          <w:szCs w:val="24"/>
        </w:rPr>
        <w:t>(1), 1–15. https://doi.org/10.22373/jihbiz.v1i1.4598</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Astarini, RP, Hartoyo, S., &amp; Maulana, TNA (2016). Impact of internal and external factors on the net interest margin of banks in Indonesia. </w:t>
      </w:r>
      <w:r w:rsidRPr="00002900">
        <w:rPr>
          <w:rFonts w:ascii="Cambria" w:hAnsi="Cambria" w:cs="Tahoma"/>
          <w:i/>
          <w:iCs/>
          <w:noProof/>
          <w:sz w:val="24"/>
          <w:szCs w:val="24"/>
        </w:rPr>
        <w:t>International Journal of Science and Research (IJSR)</w:t>
      </w:r>
      <w:r w:rsidRPr="00002900">
        <w:rPr>
          <w:rFonts w:ascii="Cambria" w:hAnsi="Cambria" w:cs="Tahoma"/>
          <w:noProof/>
          <w:sz w:val="24"/>
          <w:szCs w:val="24"/>
        </w:rPr>
        <w:t xml:space="preserve">, </w:t>
      </w:r>
      <w:r w:rsidRPr="00002900">
        <w:rPr>
          <w:rFonts w:ascii="Cambria" w:hAnsi="Cambria" w:cs="Tahoma"/>
          <w:i/>
          <w:iCs/>
          <w:noProof/>
          <w:sz w:val="24"/>
          <w:szCs w:val="24"/>
        </w:rPr>
        <w:t xml:space="preserve">5 </w:t>
      </w:r>
      <w:r w:rsidRPr="00002900">
        <w:rPr>
          <w:rFonts w:ascii="Cambria" w:hAnsi="Cambria" w:cs="Tahoma"/>
          <w:noProof/>
          <w:sz w:val="24"/>
          <w:szCs w:val="24"/>
        </w:rPr>
        <w:t xml:space="preserve">(9), 99–107. </w:t>
      </w:r>
      <w:r w:rsidRPr="00002900">
        <w:rPr>
          <w:rFonts w:ascii="Cambria" w:hAnsi="Cambria" w:cs="Tahoma"/>
          <w:noProof/>
          <w:sz w:val="24"/>
          <w:szCs w:val="24"/>
        </w:rPr>
        <w:lastRenderedPageBreak/>
        <w:t>https://doi.org/10.21511/bbs.15(4).2020.09</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Banu, I. (2013). The Impact of Credit on Economic Growth in the Global Crisis Context. </w:t>
      </w:r>
      <w:r w:rsidRPr="00002900">
        <w:rPr>
          <w:rFonts w:ascii="Cambria" w:hAnsi="Cambria" w:cs="Tahoma"/>
          <w:i/>
          <w:iCs/>
          <w:noProof/>
          <w:sz w:val="24"/>
          <w:szCs w:val="24"/>
        </w:rPr>
        <w:t>Procedia Economics and Finance</w:t>
      </w:r>
      <w:r w:rsidRPr="00002900">
        <w:rPr>
          <w:rFonts w:ascii="Cambria" w:hAnsi="Cambria" w:cs="Tahoma"/>
          <w:noProof/>
          <w:sz w:val="24"/>
          <w:szCs w:val="24"/>
        </w:rPr>
        <w:t xml:space="preserve">, </w:t>
      </w:r>
      <w:r w:rsidRPr="00002900">
        <w:rPr>
          <w:rFonts w:ascii="Cambria" w:hAnsi="Cambria" w:cs="Tahoma"/>
          <w:i/>
          <w:iCs/>
          <w:noProof/>
          <w:sz w:val="24"/>
          <w:szCs w:val="24"/>
        </w:rPr>
        <w:t xml:space="preserve">6 </w:t>
      </w:r>
      <w:r w:rsidRPr="00002900">
        <w:rPr>
          <w:rFonts w:ascii="Cambria" w:hAnsi="Cambria" w:cs="Tahoma"/>
          <w:noProof/>
          <w:sz w:val="24"/>
          <w:szCs w:val="24"/>
        </w:rPr>
        <w:t>(February 2007), pp. 25–30. https://doi.org/10.1016/s2212-5671(13)00109-3</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Basuki, AT, &amp; Yuliadi, I. (2014). </w:t>
      </w:r>
      <w:r w:rsidRPr="00002900">
        <w:rPr>
          <w:rFonts w:ascii="Cambria" w:hAnsi="Cambria" w:cs="Tahoma"/>
          <w:i/>
          <w:iCs/>
          <w:noProof/>
          <w:sz w:val="24"/>
          <w:szCs w:val="24"/>
        </w:rPr>
        <w:t xml:space="preserve">ELECTRONIC DATA PROCESSING (SPSS 15 AND EVIEWS 7) </w:t>
      </w:r>
      <w:r w:rsidRPr="00002900">
        <w:rPr>
          <w:rFonts w:ascii="Cambria" w:hAnsi="Cambria" w:cs="Tahoma"/>
          <w:noProof/>
          <w:sz w:val="24"/>
          <w:szCs w:val="24"/>
        </w:rPr>
        <w:t>. Publisher Danisa Media Yogyakarta. http://repository.umy.ac.id/handle/123456789/2054</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Enders, W. (2014). </w:t>
      </w:r>
      <w:r w:rsidRPr="00002900">
        <w:rPr>
          <w:rFonts w:ascii="Cambria" w:hAnsi="Cambria" w:cs="Tahoma"/>
          <w:i/>
          <w:iCs/>
          <w:noProof/>
          <w:sz w:val="24"/>
          <w:szCs w:val="24"/>
        </w:rPr>
        <w:t xml:space="preserve">Applied Econometric Time Series, 4th Edition </w:t>
      </w:r>
      <w:r w:rsidRPr="00002900">
        <w:rPr>
          <w:rFonts w:ascii="Cambria" w:hAnsi="Cambria" w:cs="Tahoma"/>
          <w:noProof/>
          <w:sz w:val="24"/>
          <w:szCs w:val="24"/>
        </w:rPr>
        <w:t>(4th ed.). John Wiley &amp; Sons.</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Fakhri, UN, &amp; Darmawan, A. (2021). Comparison of Islamic and Conventional Banking Financial Performance during the Covid-19 Period. </w:t>
      </w:r>
      <w:r w:rsidRPr="00002900">
        <w:rPr>
          <w:rFonts w:ascii="Cambria" w:hAnsi="Cambria" w:cs="Tahoma"/>
          <w:i/>
          <w:iCs/>
          <w:noProof/>
          <w:sz w:val="24"/>
          <w:szCs w:val="24"/>
        </w:rPr>
        <w:t>International Journal of Islamic Economics and Finance (IJIEF)</w:t>
      </w:r>
      <w:r w:rsidRPr="00002900">
        <w:rPr>
          <w:rFonts w:ascii="Cambria" w:hAnsi="Cambria" w:cs="Tahoma"/>
          <w:noProof/>
          <w:sz w:val="24"/>
          <w:szCs w:val="24"/>
        </w:rPr>
        <w:t xml:space="preserve">, </w:t>
      </w:r>
      <w:r w:rsidRPr="00002900">
        <w:rPr>
          <w:rFonts w:ascii="Cambria" w:hAnsi="Cambria" w:cs="Tahoma"/>
          <w:i/>
          <w:iCs/>
          <w:noProof/>
          <w:sz w:val="24"/>
          <w:szCs w:val="24"/>
        </w:rPr>
        <w:t xml:space="preserve">4 </w:t>
      </w:r>
      <w:r w:rsidRPr="00002900">
        <w:rPr>
          <w:rFonts w:ascii="Cambria" w:hAnsi="Cambria" w:cs="Tahoma"/>
          <w:noProof/>
          <w:sz w:val="24"/>
          <w:szCs w:val="24"/>
        </w:rPr>
        <w:t>(SI), 19–40. https://doi.org/10.18196/ijief.v4i0.10080</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Farianti, R., Pramuka, BA, &amp; Purwati, AS (2020). The Influence of NPF, NOM, and FDR on Murabahah Financing with DPK as a Moderating Variable. </w:t>
      </w:r>
      <w:r w:rsidRPr="00002900">
        <w:rPr>
          <w:rFonts w:ascii="Cambria" w:hAnsi="Cambria" w:cs="Tahoma"/>
          <w:i/>
          <w:iCs/>
          <w:noProof/>
          <w:sz w:val="24"/>
          <w:szCs w:val="24"/>
        </w:rPr>
        <w:t>MALIA: Journal of Islamic Banking and Finance</w:t>
      </w:r>
      <w:r w:rsidRPr="00002900">
        <w:rPr>
          <w:rFonts w:ascii="Cambria" w:hAnsi="Cambria" w:cs="Tahoma"/>
          <w:noProof/>
          <w:sz w:val="24"/>
          <w:szCs w:val="24"/>
        </w:rPr>
        <w:t xml:space="preserve">, </w:t>
      </w:r>
      <w:r w:rsidRPr="00002900">
        <w:rPr>
          <w:rFonts w:ascii="Cambria" w:hAnsi="Cambria" w:cs="Tahoma"/>
          <w:i/>
          <w:iCs/>
          <w:noProof/>
          <w:sz w:val="24"/>
          <w:szCs w:val="24"/>
        </w:rPr>
        <w:t xml:space="preserve">3 </w:t>
      </w:r>
      <w:r w:rsidRPr="00002900">
        <w:rPr>
          <w:rFonts w:ascii="Cambria" w:hAnsi="Cambria" w:cs="Tahoma"/>
          <w:noProof/>
          <w:sz w:val="24"/>
          <w:szCs w:val="24"/>
        </w:rPr>
        <w:t>(1), 17. https://doi.org/10.21043/malia.v3i1.5665</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Giri, NP, Rediatni, P., Sri, AAG, Luh Sri, PJ, Made, IM, &amp; Amerta, S. (2019). International Journal of Social Sciences and Humanities Effect of Third Party Funds and BI Rate on Credit Distribution of BNI. </w:t>
      </w:r>
      <w:r w:rsidRPr="00002900">
        <w:rPr>
          <w:rFonts w:ascii="Cambria" w:hAnsi="Cambria" w:cs="Tahoma"/>
          <w:i/>
          <w:iCs/>
          <w:noProof/>
          <w:sz w:val="24"/>
          <w:szCs w:val="24"/>
        </w:rPr>
        <w:t>International Journal of Social Sciences and Humanities</w:t>
      </w:r>
      <w:r w:rsidRPr="00002900">
        <w:rPr>
          <w:rFonts w:ascii="Cambria" w:hAnsi="Cambria" w:cs="Tahoma"/>
          <w:noProof/>
          <w:sz w:val="24"/>
          <w:szCs w:val="24"/>
        </w:rPr>
        <w:t xml:space="preserve">, </w:t>
      </w:r>
      <w:r w:rsidRPr="00002900">
        <w:rPr>
          <w:rFonts w:ascii="Cambria" w:hAnsi="Cambria" w:cs="Tahoma"/>
          <w:i/>
          <w:iCs/>
          <w:noProof/>
          <w:sz w:val="24"/>
          <w:szCs w:val="24"/>
        </w:rPr>
        <w:t xml:space="preserve">3 </w:t>
      </w:r>
      <w:r w:rsidRPr="00002900">
        <w:rPr>
          <w:rFonts w:ascii="Cambria" w:hAnsi="Cambria" w:cs="Tahoma"/>
          <w:noProof/>
          <w:sz w:val="24"/>
          <w:szCs w:val="24"/>
        </w:rPr>
        <w:t>(3), 147–156. http://sciencescholar.us/journal/index.php/ijssh https://doi.org/10.29332/ijssh.v3n3.371</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Hermuningsih, S., Sari, PP, &amp; Rahmawati, AD (2020). The Influence of Third-Party Funds, Non-Performing Loans (NPL) on Credit Distribution With Profitability As Intervening Variable in Commercial Banks. </w:t>
      </w:r>
      <w:r w:rsidRPr="00002900">
        <w:rPr>
          <w:rFonts w:ascii="Cambria" w:hAnsi="Cambria" w:cs="Tahoma"/>
          <w:i/>
          <w:iCs/>
          <w:noProof/>
          <w:sz w:val="24"/>
          <w:szCs w:val="24"/>
        </w:rPr>
        <w:t>International Journal of Economics, Business and Accounting Research (IJEBAR)</w:t>
      </w:r>
      <w:r w:rsidRPr="00002900">
        <w:rPr>
          <w:rFonts w:ascii="Cambria" w:hAnsi="Cambria" w:cs="Tahoma"/>
          <w:noProof/>
          <w:sz w:val="24"/>
          <w:szCs w:val="24"/>
        </w:rPr>
        <w:t xml:space="preserve">, </w:t>
      </w:r>
      <w:r w:rsidRPr="00002900">
        <w:rPr>
          <w:rFonts w:ascii="Cambria" w:hAnsi="Cambria" w:cs="Tahoma"/>
          <w:i/>
          <w:iCs/>
          <w:noProof/>
          <w:sz w:val="24"/>
          <w:szCs w:val="24"/>
        </w:rPr>
        <w:t xml:space="preserve">4 </w:t>
      </w:r>
      <w:r w:rsidRPr="00002900">
        <w:rPr>
          <w:rFonts w:ascii="Cambria" w:hAnsi="Cambria" w:cs="Tahoma"/>
          <w:noProof/>
          <w:sz w:val="24"/>
          <w:szCs w:val="24"/>
        </w:rPr>
        <w:t>(02), 40–50. https://doi.org/10.29040/ijebar.v4i02.988</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Huljak, I., Martin, R., Moccero, D., &amp; Pancaro, C. (2022). Do non-performing loans matter for bank lending and the business cycle in euro-area countries? </w:t>
      </w:r>
      <w:r w:rsidRPr="00002900">
        <w:rPr>
          <w:rFonts w:ascii="Cambria" w:hAnsi="Cambria" w:cs="Tahoma"/>
          <w:i/>
          <w:iCs/>
          <w:noProof/>
          <w:sz w:val="24"/>
          <w:szCs w:val="24"/>
        </w:rPr>
        <w:t>Journal of Applied Economics</w:t>
      </w:r>
      <w:r w:rsidRPr="00002900">
        <w:rPr>
          <w:rFonts w:ascii="Cambria" w:hAnsi="Cambria" w:cs="Tahoma"/>
          <w:noProof/>
          <w:sz w:val="24"/>
          <w:szCs w:val="24"/>
        </w:rPr>
        <w:t xml:space="preserve">, </w:t>
      </w:r>
      <w:r w:rsidRPr="00002900">
        <w:rPr>
          <w:rFonts w:ascii="Cambria" w:hAnsi="Cambria" w:cs="Tahoma"/>
          <w:i/>
          <w:iCs/>
          <w:noProof/>
          <w:sz w:val="24"/>
          <w:szCs w:val="24"/>
        </w:rPr>
        <w:t xml:space="preserve">25 </w:t>
      </w:r>
      <w:r w:rsidRPr="00002900">
        <w:rPr>
          <w:rFonts w:ascii="Cambria" w:hAnsi="Cambria" w:cs="Tahoma"/>
          <w:noProof/>
          <w:sz w:val="24"/>
          <w:szCs w:val="24"/>
        </w:rPr>
        <w:t>(1), 1050–1080. https://doi.org/10.1080/15140326.2022.2094668</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Husaeni, U. (2016). The Variable Effects of Murabahah in Islamic Commercial Banks. </w:t>
      </w:r>
      <w:r w:rsidRPr="00002900">
        <w:rPr>
          <w:rFonts w:ascii="Cambria" w:hAnsi="Cambria" w:cs="Tahoma"/>
          <w:i/>
          <w:iCs/>
          <w:noProof/>
          <w:sz w:val="24"/>
          <w:szCs w:val="24"/>
        </w:rPr>
        <w:t>International Journal of Nusantara Islam</w:t>
      </w:r>
      <w:r w:rsidRPr="00002900">
        <w:rPr>
          <w:rFonts w:ascii="Cambria" w:hAnsi="Cambria" w:cs="Tahoma"/>
          <w:noProof/>
          <w:sz w:val="24"/>
          <w:szCs w:val="24"/>
        </w:rPr>
        <w:t xml:space="preserve">, </w:t>
      </w:r>
      <w:r w:rsidRPr="00002900">
        <w:rPr>
          <w:rFonts w:ascii="Cambria" w:hAnsi="Cambria" w:cs="Tahoma"/>
          <w:i/>
          <w:iCs/>
          <w:noProof/>
          <w:sz w:val="24"/>
          <w:szCs w:val="24"/>
        </w:rPr>
        <w:t xml:space="preserve">04 </w:t>
      </w:r>
      <w:r w:rsidRPr="00002900">
        <w:rPr>
          <w:rFonts w:ascii="Cambria" w:hAnsi="Cambria" w:cs="Tahoma"/>
          <w:noProof/>
          <w:sz w:val="24"/>
          <w:szCs w:val="24"/>
        </w:rPr>
        <w:t>(02), 1–16. https://journal.uinsgd.ac.id/index.php/ijni/article/view/1446</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Ivakhnenkov, S., Hlushchenko, S., &amp; Sverenko, K. (2021). Macroeconomic factors that influence the bank loan rate in international and Ukrainian practice. </w:t>
      </w:r>
      <w:r w:rsidRPr="00002900">
        <w:rPr>
          <w:rFonts w:ascii="Cambria" w:hAnsi="Cambria" w:cs="Tahoma"/>
          <w:i/>
          <w:iCs/>
          <w:noProof/>
          <w:sz w:val="24"/>
          <w:szCs w:val="24"/>
        </w:rPr>
        <w:t>Economics of Development</w:t>
      </w:r>
      <w:r w:rsidRPr="00002900">
        <w:rPr>
          <w:rFonts w:ascii="Cambria" w:hAnsi="Cambria" w:cs="Tahoma"/>
          <w:noProof/>
          <w:sz w:val="24"/>
          <w:szCs w:val="24"/>
        </w:rPr>
        <w:t xml:space="preserve">, </w:t>
      </w:r>
      <w:r w:rsidRPr="00002900">
        <w:rPr>
          <w:rFonts w:ascii="Cambria" w:hAnsi="Cambria" w:cs="Tahoma"/>
          <w:i/>
          <w:iCs/>
          <w:noProof/>
          <w:sz w:val="24"/>
          <w:szCs w:val="24"/>
        </w:rPr>
        <w:t xml:space="preserve">19 </w:t>
      </w:r>
      <w:r w:rsidRPr="00002900">
        <w:rPr>
          <w:rFonts w:ascii="Cambria" w:hAnsi="Cambria" w:cs="Tahoma"/>
          <w:noProof/>
          <w:sz w:val="24"/>
          <w:szCs w:val="24"/>
        </w:rPr>
        <w:t>(4), 35–47. https://doi.org/10.21511/ed.19(4).2020.04</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Jayawarsa, AK, Wulandari, IGAA, Saputra, KAK, &amp; Saputri, NMMD (2021). Public financial deposits in state-owned banks: from an inflation perspective and bank indonesia interest rates. </w:t>
      </w:r>
      <w:r w:rsidRPr="00002900">
        <w:rPr>
          <w:rFonts w:ascii="Cambria" w:hAnsi="Cambria" w:cs="Tahoma"/>
          <w:i/>
          <w:iCs/>
          <w:noProof/>
          <w:sz w:val="24"/>
          <w:szCs w:val="24"/>
        </w:rPr>
        <w:t>International Journal of Business, Economics, and Law</w:t>
      </w:r>
      <w:r w:rsidRPr="00002900">
        <w:rPr>
          <w:rFonts w:ascii="Cambria" w:hAnsi="Cambria" w:cs="Tahoma"/>
          <w:noProof/>
          <w:sz w:val="24"/>
          <w:szCs w:val="24"/>
        </w:rPr>
        <w:t xml:space="preserve">, </w:t>
      </w:r>
      <w:r w:rsidRPr="00002900">
        <w:rPr>
          <w:rFonts w:ascii="Cambria" w:hAnsi="Cambria" w:cs="Tahoma"/>
          <w:i/>
          <w:iCs/>
          <w:noProof/>
          <w:sz w:val="24"/>
          <w:szCs w:val="24"/>
        </w:rPr>
        <w:lastRenderedPageBreak/>
        <w:t xml:space="preserve">24 </w:t>
      </w:r>
      <w:r w:rsidRPr="00002900">
        <w:rPr>
          <w:rFonts w:ascii="Cambria" w:hAnsi="Cambria" w:cs="Tahoma"/>
          <w:noProof/>
          <w:sz w:val="24"/>
          <w:szCs w:val="24"/>
        </w:rPr>
        <w:t>(1), 105–112.</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Jessica, T., &amp; Chalid, DA (2021). Determinants of Bank Loans in Indonesia. </w:t>
      </w:r>
      <w:r w:rsidRPr="00002900">
        <w:rPr>
          <w:rFonts w:ascii="Cambria" w:hAnsi="Cambria" w:cs="Tahoma"/>
          <w:i/>
          <w:iCs/>
          <w:noProof/>
          <w:sz w:val="24"/>
          <w:szCs w:val="24"/>
        </w:rPr>
        <w:t>Proceedings of the Asia-Pacific Research in Social Sciences and Humanities Universitas Indonesia Conference (APRISH 2019)</w:t>
      </w:r>
      <w:r w:rsidRPr="00002900">
        <w:rPr>
          <w:rFonts w:ascii="Cambria" w:hAnsi="Cambria" w:cs="Tahoma"/>
          <w:noProof/>
          <w:sz w:val="24"/>
          <w:szCs w:val="24"/>
        </w:rPr>
        <w:t xml:space="preserve">, </w:t>
      </w:r>
      <w:r w:rsidRPr="00002900">
        <w:rPr>
          <w:rFonts w:ascii="Cambria" w:hAnsi="Cambria" w:cs="Tahoma"/>
          <w:i/>
          <w:iCs/>
          <w:noProof/>
          <w:sz w:val="24"/>
          <w:szCs w:val="24"/>
        </w:rPr>
        <w:t xml:space="preserve">558 </w:t>
      </w:r>
      <w:r w:rsidRPr="00002900">
        <w:rPr>
          <w:rFonts w:ascii="Cambria" w:hAnsi="Cambria" w:cs="Tahoma"/>
          <w:noProof/>
          <w:sz w:val="24"/>
          <w:szCs w:val="24"/>
        </w:rPr>
        <w:t>(Aprish, 2019), pp. 505–512. https://doi.org/10.2991/assehr.k.210531.064</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Khotmi, H., Wahyullah, M., &amp; Fachrozi. (2021). Determinants of Funding Provided (Study on Islamic Commercial Banks in Indonesia for the 2018-2020 Period). </w:t>
      </w:r>
      <w:r w:rsidRPr="00002900">
        <w:rPr>
          <w:rFonts w:ascii="Cambria" w:hAnsi="Cambria" w:cs="Tahoma"/>
          <w:i/>
          <w:iCs/>
          <w:noProof/>
          <w:sz w:val="24"/>
          <w:szCs w:val="24"/>
        </w:rPr>
        <w:t>Rinjani Scientific Journal</w:t>
      </w:r>
      <w:r w:rsidRPr="00002900">
        <w:rPr>
          <w:rFonts w:ascii="Cambria" w:hAnsi="Cambria" w:cs="Times New Roman"/>
          <w:i/>
          <w:iCs/>
          <w:noProof/>
          <w:sz w:val="24"/>
          <w:szCs w:val="24"/>
        </w:rPr>
        <w:t> </w:t>
      </w:r>
      <w:r w:rsidRPr="00002900">
        <w:rPr>
          <w:rFonts w:ascii="Cambria" w:hAnsi="Cambria" w:cs="Tahoma"/>
          <w:i/>
          <w:iCs/>
          <w:noProof/>
          <w:sz w:val="24"/>
          <w:szCs w:val="24"/>
        </w:rPr>
        <w:t>: the Media Information Scientific University of Mount Rinjani</w:t>
      </w:r>
      <w:r w:rsidRPr="00002900">
        <w:rPr>
          <w:rFonts w:ascii="Cambria" w:hAnsi="Cambria" w:cs="Tahoma"/>
          <w:noProof/>
          <w:sz w:val="24"/>
          <w:szCs w:val="24"/>
        </w:rPr>
        <w:t xml:space="preserve">, </w:t>
      </w:r>
      <w:r w:rsidRPr="00002900">
        <w:rPr>
          <w:rFonts w:ascii="Cambria" w:hAnsi="Cambria" w:cs="Tahoma"/>
          <w:i/>
          <w:iCs/>
          <w:noProof/>
          <w:sz w:val="24"/>
          <w:szCs w:val="24"/>
        </w:rPr>
        <w:t xml:space="preserve">9 </w:t>
      </w:r>
      <w:r w:rsidRPr="00002900">
        <w:rPr>
          <w:rFonts w:ascii="Cambria" w:hAnsi="Cambria" w:cs="Tahoma"/>
          <w:noProof/>
          <w:sz w:val="24"/>
          <w:szCs w:val="24"/>
        </w:rPr>
        <w:t>(2), 1–10. https://doi.org/10.53952/jir.v9i2.337</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Klein, N. (2013). Non-Performing Loans in CESEE: Determinants and Impact on Macroeconomic Performance. </w:t>
      </w:r>
      <w:r w:rsidRPr="00002900">
        <w:rPr>
          <w:rFonts w:ascii="Cambria" w:hAnsi="Cambria" w:cs="Tahoma"/>
          <w:i/>
          <w:iCs/>
          <w:noProof/>
          <w:sz w:val="24"/>
          <w:szCs w:val="24"/>
        </w:rPr>
        <w:t>IMF Working Papers</w:t>
      </w:r>
      <w:r w:rsidRPr="00002900">
        <w:rPr>
          <w:rFonts w:ascii="Cambria" w:hAnsi="Cambria" w:cs="Tahoma"/>
          <w:noProof/>
          <w:sz w:val="24"/>
          <w:szCs w:val="24"/>
        </w:rPr>
        <w:t xml:space="preserve">, </w:t>
      </w:r>
      <w:r w:rsidRPr="00002900">
        <w:rPr>
          <w:rFonts w:ascii="Cambria" w:hAnsi="Cambria" w:cs="Tahoma"/>
          <w:i/>
          <w:iCs/>
          <w:noProof/>
          <w:sz w:val="24"/>
          <w:szCs w:val="24"/>
        </w:rPr>
        <w:t xml:space="preserve">13 </w:t>
      </w:r>
      <w:r w:rsidRPr="00002900">
        <w:rPr>
          <w:rFonts w:ascii="Cambria" w:hAnsi="Cambria" w:cs="Tahoma"/>
          <w:noProof/>
          <w:sz w:val="24"/>
          <w:szCs w:val="24"/>
        </w:rPr>
        <w:t>(72), 1. https://doi.org/10.5089/9781484318522.001</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Kuncoro, M. (2011). </w:t>
      </w:r>
      <w:r w:rsidRPr="00002900">
        <w:rPr>
          <w:rFonts w:ascii="Cambria" w:hAnsi="Cambria" w:cs="Tahoma"/>
          <w:i/>
          <w:iCs/>
          <w:noProof/>
          <w:sz w:val="24"/>
          <w:szCs w:val="24"/>
        </w:rPr>
        <w:t xml:space="preserve">Quantitative methods: Theory and its applications to business and economics </w:t>
      </w:r>
      <w:r w:rsidRPr="00002900">
        <w:rPr>
          <w:rFonts w:ascii="Cambria" w:hAnsi="Cambria" w:cs="Tahoma"/>
          <w:noProof/>
          <w:sz w:val="24"/>
          <w:szCs w:val="24"/>
        </w:rPr>
        <w:t>(4th ed.). UPP STIM YKPN.</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Kurniawanti, A. (2014). Analysis of the Factors Influencing the Volume of Profit-Sharing-Based Financing in Islamic Commercial Banks in Indonesia. </w:t>
      </w:r>
      <w:r w:rsidRPr="00002900">
        <w:rPr>
          <w:rFonts w:ascii="Cambria" w:hAnsi="Cambria" w:cs="Tahoma"/>
          <w:i/>
          <w:iCs/>
          <w:noProof/>
          <w:sz w:val="24"/>
          <w:szCs w:val="24"/>
        </w:rPr>
        <w:t>National Seminar on Accounting Study Program FEB-UMS</w:t>
      </w:r>
      <w:r w:rsidRPr="00002900">
        <w:rPr>
          <w:rFonts w:ascii="Cambria" w:hAnsi="Cambria" w:cs="Tahoma"/>
          <w:noProof/>
          <w:sz w:val="24"/>
          <w:szCs w:val="24"/>
        </w:rPr>
        <w:t xml:space="preserve">, </w:t>
      </w:r>
      <w:r w:rsidRPr="00002900">
        <w:rPr>
          <w:rFonts w:ascii="Cambria" w:hAnsi="Cambria" w:cs="Tahoma"/>
          <w:i/>
          <w:iCs/>
          <w:noProof/>
          <w:sz w:val="24"/>
          <w:szCs w:val="24"/>
        </w:rPr>
        <w:t xml:space="preserve">39 </w:t>
      </w:r>
      <w:r w:rsidRPr="00002900">
        <w:rPr>
          <w:rFonts w:ascii="Cambria" w:hAnsi="Cambria" w:cs="Tahoma"/>
          <w:noProof/>
          <w:sz w:val="24"/>
          <w:szCs w:val="24"/>
        </w:rPr>
        <w:t>(1), 1–24. http://dx.doi.org/10.1016/j.biochi.2015.03.025%0Ahttp://dx.doi.org/10.1038/nature10402%0Ahttp://dx.doi.org/10.1038/nature21059%0Ahttp : //journal.stainkudus.ac.id/index.php/equilibrium/article/view/1268/1127%0Ahttp://dx.doi.org/10.1038/nrmicro2577%0Ahttp://</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Mughits, M., &amp; Wulandari, R. (2016). Contribution of Islamic Bank Financing to the Agricultural Sector in Indonesia. </w:t>
      </w:r>
      <w:r w:rsidRPr="00002900">
        <w:rPr>
          <w:rFonts w:ascii="Cambria" w:hAnsi="Cambria" w:cs="Tahoma"/>
          <w:i/>
          <w:iCs/>
          <w:noProof/>
          <w:sz w:val="24"/>
          <w:szCs w:val="24"/>
        </w:rPr>
        <w:t xml:space="preserve">Al-Muzara'ah </w:t>
      </w:r>
      <w:r w:rsidRPr="00002900">
        <w:rPr>
          <w:rFonts w:ascii="Cambria" w:hAnsi="Cambria" w:cs="Tahoma"/>
          <w:noProof/>
          <w:sz w:val="24"/>
          <w:szCs w:val="24"/>
        </w:rPr>
        <w:t xml:space="preserve">, </w:t>
      </w:r>
      <w:r w:rsidRPr="00002900">
        <w:rPr>
          <w:rFonts w:ascii="Cambria" w:hAnsi="Cambria" w:cs="Tahoma"/>
          <w:i/>
          <w:iCs/>
          <w:noProof/>
          <w:sz w:val="24"/>
          <w:szCs w:val="24"/>
        </w:rPr>
        <w:t xml:space="preserve">4 </w:t>
      </w:r>
      <w:r w:rsidRPr="00002900">
        <w:rPr>
          <w:rFonts w:ascii="Cambria" w:hAnsi="Cambria" w:cs="Tahoma"/>
          <w:noProof/>
          <w:sz w:val="24"/>
          <w:szCs w:val="24"/>
        </w:rPr>
        <w:t>(1), 61–75.</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Nadya, A., Tanjung, M., &amp; Sugianto, S. (2020). Analysis of External and Internal Factors on Financing in Islamic Commercial Banks Registered at OJK. </w:t>
      </w:r>
      <w:r w:rsidRPr="00002900">
        <w:rPr>
          <w:rFonts w:ascii="Cambria" w:hAnsi="Cambria" w:cs="Tahoma"/>
          <w:i/>
          <w:iCs/>
          <w:noProof/>
          <w:sz w:val="24"/>
          <w:szCs w:val="24"/>
        </w:rPr>
        <w:t>Journal of Islamic Economics and Finance Studies</w:t>
      </w:r>
      <w:r w:rsidRPr="00002900">
        <w:rPr>
          <w:rFonts w:ascii="Cambria" w:hAnsi="Cambria" w:cs="Tahoma"/>
          <w:noProof/>
          <w:sz w:val="24"/>
          <w:szCs w:val="24"/>
        </w:rPr>
        <w:t xml:space="preserve">, </w:t>
      </w:r>
      <w:r w:rsidRPr="00002900">
        <w:rPr>
          <w:rFonts w:ascii="Cambria" w:hAnsi="Cambria" w:cs="Tahoma"/>
          <w:i/>
          <w:iCs/>
          <w:noProof/>
          <w:sz w:val="24"/>
          <w:szCs w:val="24"/>
        </w:rPr>
        <w:t xml:space="preserve">1 </w:t>
      </w:r>
      <w:r w:rsidRPr="00002900">
        <w:rPr>
          <w:rFonts w:ascii="Cambria" w:hAnsi="Cambria" w:cs="Tahoma"/>
          <w:noProof/>
          <w:sz w:val="24"/>
          <w:szCs w:val="24"/>
        </w:rPr>
        <w:t>(2), 153. https://doi.org/10.47700/jiefes.v1i2.2095</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Nur'aeni, N., &amp; Setiawan, S. (2020). Third Party Funds and Non-Performing Financing for Mudharabah Financing in Indonesia's Sharia Banking. </w:t>
      </w:r>
      <w:r w:rsidRPr="00002900">
        <w:rPr>
          <w:rFonts w:ascii="Cambria" w:hAnsi="Cambria" w:cs="Tahoma"/>
          <w:i/>
          <w:iCs/>
          <w:noProof/>
          <w:sz w:val="24"/>
          <w:szCs w:val="24"/>
        </w:rPr>
        <w:t xml:space="preserve">International Journal of Business, Economics, and Social Development </w:t>
      </w:r>
      <w:r w:rsidRPr="00002900">
        <w:rPr>
          <w:rFonts w:ascii="Cambria" w:hAnsi="Cambria" w:cs="Tahoma"/>
          <w:noProof/>
          <w:sz w:val="24"/>
          <w:szCs w:val="24"/>
        </w:rPr>
        <w:t xml:space="preserve">, </w:t>
      </w:r>
      <w:r w:rsidRPr="00002900">
        <w:rPr>
          <w:rFonts w:ascii="Cambria" w:hAnsi="Cambria" w:cs="Tahoma"/>
          <w:i/>
          <w:iCs/>
          <w:noProof/>
          <w:sz w:val="24"/>
          <w:szCs w:val="24"/>
        </w:rPr>
        <w:t xml:space="preserve">1 </w:t>
      </w:r>
      <w:r w:rsidRPr="00002900">
        <w:rPr>
          <w:rFonts w:ascii="Cambria" w:hAnsi="Cambria" w:cs="Tahoma"/>
          <w:noProof/>
          <w:sz w:val="24"/>
          <w:szCs w:val="24"/>
        </w:rPr>
        <w:t>(4), 178–184. https://doi.org/10.46336/ijbesd.v1i4.96</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Odah, M., Sadig, A., Bager, M., &amp; Mohammed, BK (2017). Tobit Regression Analysis Applied on Iraqi Bank Loans. </w:t>
      </w:r>
      <w:r w:rsidRPr="00002900">
        <w:rPr>
          <w:rFonts w:ascii="Cambria" w:hAnsi="Cambria" w:cs="Tahoma"/>
          <w:i/>
          <w:iCs/>
          <w:noProof/>
          <w:sz w:val="24"/>
          <w:szCs w:val="24"/>
        </w:rPr>
        <w:t>American Journal of Mathematics and Statistics</w:t>
      </w:r>
      <w:r w:rsidRPr="00002900">
        <w:rPr>
          <w:rFonts w:ascii="Cambria" w:hAnsi="Cambria" w:cs="Tahoma"/>
          <w:noProof/>
          <w:sz w:val="24"/>
          <w:szCs w:val="24"/>
        </w:rPr>
        <w:t xml:space="preserve">, </w:t>
      </w:r>
      <w:r w:rsidRPr="00002900">
        <w:rPr>
          <w:rFonts w:ascii="Cambria" w:hAnsi="Cambria" w:cs="Tahoma"/>
          <w:i/>
          <w:iCs/>
          <w:noProof/>
          <w:sz w:val="24"/>
          <w:szCs w:val="24"/>
        </w:rPr>
        <w:t xml:space="preserve">7 </w:t>
      </w:r>
      <w:r w:rsidRPr="00002900">
        <w:rPr>
          <w:rFonts w:ascii="Cambria" w:hAnsi="Cambria" w:cs="Tahoma"/>
          <w:noProof/>
          <w:sz w:val="24"/>
          <w:szCs w:val="24"/>
        </w:rPr>
        <w:t>(4), 179–182. https://doi.org/10.5923/j.ajms.20170704.06</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Pontines, V., &amp; Siregar, R. (2012). How Should We Bank with Foreigners? - An Empirical Assessment of Lending Behavior of International Banks to Six East Asian Economies. </w:t>
      </w:r>
      <w:r w:rsidRPr="00002900">
        <w:rPr>
          <w:rFonts w:ascii="Cambria" w:hAnsi="Cambria" w:cs="Tahoma"/>
          <w:i/>
          <w:iCs/>
          <w:noProof/>
          <w:sz w:val="24"/>
          <w:szCs w:val="24"/>
        </w:rPr>
        <w:t>SSRN Electronic Journal</w:t>
      </w:r>
      <w:r w:rsidRPr="00002900">
        <w:rPr>
          <w:rFonts w:ascii="Cambria" w:hAnsi="Cambria" w:cs="Tahoma"/>
          <w:noProof/>
          <w:sz w:val="24"/>
          <w:szCs w:val="24"/>
        </w:rPr>
        <w:t>. https://doi.org/10.2139/ssrn.2159088</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Pradesyah, R., &amp; Triandhini, Y. (2021). The Effect Of Third Party Funds (DPK), Non-Performing Financing (NPF), And Indonesian Sharia Bank Certificates (SBIS) On Sharia Banking Financing Distribution In Indonesia. </w:t>
      </w:r>
      <w:r w:rsidRPr="00002900">
        <w:rPr>
          <w:rFonts w:ascii="Cambria" w:hAnsi="Cambria" w:cs="Tahoma"/>
          <w:i/>
          <w:iCs/>
          <w:noProof/>
          <w:sz w:val="24"/>
          <w:szCs w:val="24"/>
        </w:rPr>
        <w:t xml:space="preserve">International Journal of </w:t>
      </w:r>
      <w:r w:rsidRPr="00002900">
        <w:rPr>
          <w:rFonts w:ascii="Cambria" w:hAnsi="Cambria" w:cs="Tahoma"/>
          <w:i/>
          <w:iCs/>
          <w:noProof/>
          <w:sz w:val="24"/>
          <w:szCs w:val="24"/>
        </w:rPr>
        <w:lastRenderedPageBreak/>
        <w:t>Business, Economics, and Social Development</w:t>
      </w:r>
      <w:r w:rsidRPr="00002900">
        <w:rPr>
          <w:rFonts w:ascii="Cambria" w:hAnsi="Cambria" w:cs="Tahoma"/>
          <w:noProof/>
          <w:sz w:val="24"/>
          <w:szCs w:val="24"/>
        </w:rPr>
        <w:t xml:space="preserve">, </w:t>
      </w:r>
      <w:r w:rsidRPr="00002900">
        <w:rPr>
          <w:rFonts w:ascii="Cambria" w:hAnsi="Cambria" w:cs="Tahoma"/>
          <w:i/>
          <w:iCs/>
          <w:noProof/>
          <w:sz w:val="24"/>
          <w:szCs w:val="24"/>
        </w:rPr>
        <w:t xml:space="preserve">2 </w:t>
      </w:r>
      <w:r w:rsidRPr="00002900">
        <w:rPr>
          <w:rFonts w:ascii="Cambria" w:hAnsi="Cambria" w:cs="Tahoma"/>
          <w:noProof/>
          <w:sz w:val="24"/>
          <w:szCs w:val="24"/>
        </w:rPr>
        <w:t>(2), 72–77. https://doi.org/10.46336/ijbesd.v2i2.132</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Rahmananingtyas, NA (2022). The Effect of Interest Rates and Inflation on Loan Growth and Non-Performing Loans. </w:t>
      </w:r>
      <w:r w:rsidRPr="00002900">
        <w:rPr>
          <w:rFonts w:ascii="Cambria" w:hAnsi="Cambria" w:cs="Tahoma"/>
          <w:i/>
          <w:iCs/>
          <w:noProof/>
          <w:sz w:val="24"/>
          <w:szCs w:val="24"/>
        </w:rPr>
        <w:t>Dynasty International Journal of Education Management and Social Science</w:t>
      </w:r>
      <w:r w:rsidRPr="00002900">
        <w:rPr>
          <w:rFonts w:ascii="Cambria" w:hAnsi="Cambria" w:cs="Tahoma"/>
          <w:noProof/>
          <w:sz w:val="24"/>
          <w:szCs w:val="24"/>
        </w:rPr>
        <w:t xml:space="preserve">, </w:t>
      </w:r>
      <w:r w:rsidRPr="00002900">
        <w:rPr>
          <w:rFonts w:ascii="Cambria" w:hAnsi="Cambria" w:cs="Tahoma"/>
          <w:i/>
          <w:iCs/>
          <w:noProof/>
          <w:sz w:val="24"/>
          <w:szCs w:val="24"/>
        </w:rPr>
        <w:t xml:space="preserve">4 </w:t>
      </w:r>
      <w:r w:rsidRPr="00002900">
        <w:rPr>
          <w:rFonts w:ascii="Cambria" w:hAnsi="Cambria" w:cs="Tahoma"/>
          <w:noProof/>
          <w:sz w:val="24"/>
          <w:szCs w:val="24"/>
        </w:rPr>
        <w:t>(1), 128–137.</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Saputri, S. and MGW (2018). Determinants of MSME Financing in Indonesia 2011-2015: Generalized Method of Moment (GMM) Approach. </w:t>
      </w:r>
      <w:r w:rsidRPr="00002900">
        <w:rPr>
          <w:rFonts w:ascii="Cambria" w:hAnsi="Cambria" w:cs="Tahoma"/>
          <w:i/>
          <w:iCs/>
          <w:noProof/>
          <w:sz w:val="24"/>
          <w:szCs w:val="24"/>
        </w:rPr>
        <w:t xml:space="preserve">Al-Amwal </w:t>
      </w:r>
      <w:r w:rsidRPr="00002900">
        <w:rPr>
          <w:rFonts w:ascii="Cambria" w:hAnsi="Cambria" w:cs="Tahoma"/>
          <w:noProof/>
          <w:sz w:val="24"/>
          <w:szCs w:val="24"/>
        </w:rPr>
        <w:t xml:space="preserve">, </w:t>
      </w:r>
      <w:r w:rsidRPr="00002900">
        <w:rPr>
          <w:rFonts w:ascii="Cambria" w:hAnsi="Cambria" w:cs="Tahoma"/>
          <w:i/>
          <w:iCs/>
          <w:noProof/>
          <w:sz w:val="24"/>
          <w:szCs w:val="24"/>
        </w:rPr>
        <w:t xml:space="preserve">10 </w:t>
      </w:r>
      <w:r w:rsidRPr="00002900">
        <w:rPr>
          <w:rFonts w:ascii="Cambria" w:hAnsi="Cambria" w:cs="Tahoma"/>
          <w:noProof/>
          <w:sz w:val="24"/>
          <w:szCs w:val="24"/>
        </w:rPr>
        <w:t>(1), 1–47. https://www.syekhnurjati.ac.id/jurnal/index.php/amwal/article/view/2809/1593</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Setiyoaji, &amp; Mawardi, I. (2019). LEVEL OF DEPOSIT RETURN SHARING THROUGH INTERVENING VARIABLES OF THIRD-PARTY FUNDS ON MUDHARABAH FINANCING OF SHARIA BANK. </w:t>
      </w:r>
      <w:r w:rsidRPr="00002900">
        <w:rPr>
          <w:rFonts w:ascii="Cambria" w:hAnsi="Cambria" w:cs="Tahoma"/>
          <w:i/>
          <w:iCs/>
          <w:noProof/>
          <w:sz w:val="24"/>
          <w:szCs w:val="24"/>
        </w:rPr>
        <w:t>Journal of Theory and Applied Sharia Economics</w:t>
      </w:r>
      <w:r w:rsidRPr="00002900">
        <w:rPr>
          <w:rFonts w:ascii="Cambria" w:hAnsi="Cambria" w:cs="Tahoma"/>
          <w:noProof/>
          <w:sz w:val="24"/>
          <w:szCs w:val="24"/>
        </w:rPr>
        <w:t xml:space="preserve">, </w:t>
      </w:r>
      <w:r w:rsidRPr="00002900">
        <w:rPr>
          <w:rFonts w:ascii="Cambria" w:hAnsi="Cambria" w:cs="Tahoma"/>
          <w:i/>
          <w:iCs/>
          <w:noProof/>
          <w:sz w:val="24"/>
          <w:szCs w:val="24"/>
        </w:rPr>
        <w:t xml:space="preserve">6 </w:t>
      </w:r>
      <w:r w:rsidRPr="00002900">
        <w:rPr>
          <w:rFonts w:ascii="Cambria" w:hAnsi="Cambria" w:cs="Tahoma"/>
          <w:noProof/>
          <w:sz w:val="24"/>
          <w:szCs w:val="24"/>
        </w:rPr>
        <w:t>(5), 957–967.</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Silalahi, T., Wibowo, WA, &amp; Nurliana, L. (2012). Impact of Global Financial Shock On International Bank Lending in Indonesia. In </w:t>
      </w:r>
      <w:r w:rsidRPr="00002900">
        <w:rPr>
          <w:rFonts w:ascii="Cambria" w:hAnsi="Cambria" w:cs="Tahoma"/>
          <w:i/>
          <w:iCs/>
          <w:noProof/>
          <w:sz w:val="24"/>
          <w:szCs w:val="24"/>
        </w:rPr>
        <w:t xml:space="preserve">Bulletin of Monetary Economics and Banking </w:t>
      </w:r>
      <w:r w:rsidRPr="00002900">
        <w:rPr>
          <w:rFonts w:ascii="Cambria" w:hAnsi="Cambria" w:cs="Tahoma"/>
          <w:noProof/>
          <w:sz w:val="24"/>
          <w:szCs w:val="24"/>
        </w:rPr>
        <w:t>(Vol. 15, Issue 2). https://doi.org/10.21098/bemp.v15i2.63</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Siringoringo, MJ, &amp; Sijuang, J. (2023). </w:t>
      </w:r>
      <w:r w:rsidRPr="00002900">
        <w:rPr>
          <w:rFonts w:ascii="Cambria" w:hAnsi="Cambria" w:cs="Tahoma"/>
          <w:i/>
          <w:iCs/>
          <w:noProof/>
          <w:sz w:val="24"/>
          <w:szCs w:val="24"/>
        </w:rPr>
        <w:t xml:space="preserve">Car, LDR and Third Party Funds on the Amount of Credit Disbursed by Rural Banks in North Sumatra, Indonesia </w:t>
      </w:r>
      <w:r w:rsidRPr="00002900">
        <w:rPr>
          <w:rFonts w:ascii="Cambria" w:hAnsi="Cambria" w:cs="Tahoma"/>
          <w:noProof/>
          <w:sz w:val="24"/>
          <w:szCs w:val="24"/>
        </w:rPr>
        <w:t xml:space="preserve">. </w:t>
      </w:r>
      <w:r w:rsidRPr="00002900">
        <w:rPr>
          <w:rFonts w:ascii="Cambria" w:hAnsi="Cambria" w:cs="Tahoma"/>
          <w:i/>
          <w:iCs/>
          <w:noProof/>
          <w:sz w:val="24"/>
          <w:szCs w:val="24"/>
        </w:rPr>
        <w:t xml:space="preserve">4 </w:t>
      </w:r>
      <w:r w:rsidRPr="00002900">
        <w:rPr>
          <w:rFonts w:ascii="Cambria" w:hAnsi="Cambria" w:cs="Tahoma"/>
          <w:noProof/>
          <w:sz w:val="24"/>
          <w:szCs w:val="24"/>
        </w:rPr>
        <w:t>(1), 1–16.</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Sharif, A. (2016). The Growth of Islamic Banking and SMEs Financing in Indonesia. </w:t>
      </w:r>
      <w:r w:rsidRPr="00002900">
        <w:rPr>
          <w:rFonts w:ascii="Cambria" w:hAnsi="Cambria" w:cs="Tahoma"/>
          <w:i/>
          <w:iCs/>
          <w:noProof/>
          <w:sz w:val="24"/>
          <w:szCs w:val="24"/>
        </w:rPr>
        <w:t xml:space="preserve">HUMAN FALAH </w:t>
      </w:r>
      <w:r w:rsidRPr="00002900">
        <w:rPr>
          <w:rFonts w:ascii="Cambria" w:hAnsi="Cambria" w:cs="Tahoma"/>
          <w:noProof/>
          <w:sz w:val="24"/>
          <w:szCs w:val="24"/>
        </w:rPr>
        <w:t xml:space="preserve">, : </w:t>
      </w:r>
      <w:r w:rsidRPr="00002900">
        <w:rPr>
          <w:rFonts w:ascii="Cambria" w:hAnsi="Cambria" w:cs="Tahoma"/>
          <w:i/>
          <w:iCs/>
          <w:noProof/>
          <w:sz w:val="24"/>
          <w:szCs w:val="24"/>
        </w:rPr>
        <w:t xml:space="preserve">Volume 3 </w:t>
      </w:r>
      <w:r w:rsidRPr="00002900">
        <w:rPr>
          <w:rFonts w:ascii="Cambria" w:hAnsi="Cambria" w:cs="Tahoma"/>
          <w:noProof/>
          <w:sz w:val="24"/>
          <w:szCs w:val="24"/>
        </w:rPr>
        <w:t>.</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Tanjung, OM, Sadalia, I., &amp; Irawati, N. (2022). The Effect of Macroeconomics on Non-Performing Loans with Credit Growth as an Intervening Variable at PT. SUMUT Bank. </w:t>
      </w:r>
      <w:r w:rsidRPr="00002900">
        <w:rPr>
          <w:rFonts w:ascii="Cambria" w:hAnsi="Cambria" w:cs="Tahoma"/>
          <w:i/>
          <w:iCs/>
          <w:noProof/>
          <w:sz w:val="24"/>
          <w:szCs w:val="24"/>
        </w:rPr>
        <w:t>International Journal of Research and Review</w:t>
      </w:r>
      <w:r w:rsidRPr="00002900">
        <w:rPr>
          <w:rFonts w:ascii="Cambria" w:hAnsi="Cambria" w:cs="Tahoma"/>
          <w:noProof/>
          <w:sz w:val="24"/>
          <w:szCs w:val="24"/>
        </w:rPr>
        <w:t xml:space="preserve">, </w:t>
      </w:r>
      <w:r w:rsidRPr="00002900">
        <w:rPr>
          <w:rFonts w:ascii="Cambria" w:hAnsi="Cambria" w:cs="Tahoma"/>
          <w:i/>
          <w:iCs/>
          <w:noProof/>
          <w:sz w:val="24"/>
          <w:szCs w:val="24"/>
        </w:rPr>
        <w:t xml:space="preserve">9 </w:t>
      </w:r>
      <w:r w:rsidRPr="00002900">
        <w:rPr>
          <w:rFonts w:ascii="Cambria" w:hAnsi="Cambria" w:cs="Tahoma"/>
          <w:noProof/>
          <w:sz w:val="24"/>
          <w:szCs w:val="24"/>
        </w:rPr>
        <w:t>(7), 535–549. https://doi.org/10.52403/ijrr.20220758</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 xml:space="preserve">Wangsawidjaja. (2012). </w:t>
      </w:r>
      <w:r w:rsidRPr="00002900">
        <w:rPr>
          <w:rFonts w:ascii="Cambria" w:hAnsi="Cambria" w:cs="Tahoma"/>
          <w:i/>
          <w:iCs/>
          <w:noProof/>
          <w:sz w:val="24"/>
          <w:szCs w:val="24"/>
        </w:rPr>
        <w:t xml:space="preserve">Sharia Banking Financing </w:t>
      </w:r>
      <w:r w:rsidRPr="00002900">
        <w:rPr>
          <w:rFonts w:ascii="Cambria" w:hAnsi="Cambria" w:cs="Tahoma"/>
          <w:noProof/>
          <w:sz w:val="24"/>
          <w:szCs w:val="24"/>
        </w:rPr>
        <w:t>. Main Library Gramedia.</w:t>
      </w:r>
    </w:p>
    <w:p w:rsidR="00B34E53" w:rsidRPr="00002900" w:rsidRDefault="00F35E8B" w:rsidP="00F97264">
      <w:pPr>
        <w:widowControl w:val="0"/>
        <w:autoSpaceDE w:val="0"/>
        <w:autoSpaceDN w:val="0"/>
        <w:adjustRightInd w:val="0"/>
        <w:spacing w:line="240" w:lineRule="auto"/>
        <w:ind w:left="480" w:hanging="480"/>
        <w:jc w:val="both"/>
        <w:rPr>
          <w:rFonts w:ascii="Cambria" w:hAnsi="Cambria" w:cs="Tahoma"/>
          <w:noProof/>
          <w:sz w:val="24"/>
          <w:szCs w:val="24"/>
        </w:rPr>
      </w:pPr>
      <w:r w:rsidRPr="00002900">
        <w:rPr>
          <w:rFonts w:ascii="Cambria" w:hAnsi="Cambria" w:cs="Tahoma"/>
          <w:noProof/>
          <w:sz w:val="24"/>
          <w:szCs w:val="24"/>
        </w:rPr>
        <w:t>Yasnur, M., &amp; Kurniasih, A. (2017). Factors Affecting Bank Lending Growth</w:t>
      </w:r>
      <w:r w:rsidRPr="00002900">
        <w:rPr>
          <w:rFonts w:ascii="Cambria" w:hAnsi="Cambria" w:cs="Times New Roman"/>
          <w:noProof/>
          <w:sz w:val="24"/>
          <w:szCs w:val="24"/>
        </w:rPr>
        <w:t> </w:t>
      </w:r>
      <w:r w:rsidRPr="00002900">
        <w:rPr>
          <w:rFonts w:ascii="Cambria" w:hAnsi="Cambria" w:cs="Tahoma"/>
          <w:noProof/>
          <w:sz w:val="24"/>
          <w:szCs w:val="24"/>
        </w:rPr>
        <w:t xml:space="preserve">: Cases In Indonesia. </w:t>
      </w:r>
      <w:r w:rsidRPr="00002900">
        <w:rPr>
          <w:rFonts w:ascii="Cambria" w:hAnsi="Cambria" w:cs="Tahoma"/>
          <w:i/>
          <w:iCs/>
          <w:noProof/>
          <w:sz w:val="24"/>
          <w:szCs w:val="24"/>
        </w:rPr>
        <w:t>International Journal of Scientific and Research Publications</w:t>
      </w:r>
      <w:r w:rsidRPr="00002900">
        <w:rPr>
          <w:rFonts w:ascii="Cambria" w:hAnsi="Cambria" w:cs="Tahoma"/>
          <w:noProof/>
          <w:sz w:val="24"/>
          <w:szCs w:val="24"/>
        </w:rPr>
        <w:t xml:space="preserve">, </w:t>
      </w:r>
      <w:r w:rsidRPr="00002900">
        <w:rPr>
          <w:rFonts w:ascii="Cambria" w:hAnsi="Cambria" w:cs="Tahoma"/>
          <w:i/>
          <w:iCs/>
          <w:noProof/>
          <w:sz w:val="24"/>
          <w:szCs w:val="24"/>
        </w:rPr>
        <w:t xml:space="preserve">7 </w:t>
      </w:r>
      <w:r w:rsidRPr="00002900">
        <w:rPr>
          <w:rFonts w:ascii="Cambria" w:hAnsi="Cambria" w:cs="Tahoma"/>
          <w:noProof/>
          <w:sz w:val="24"/>
          <w:szCs w:val="24"/>
        </w:rPr>
        <w:t>(11), 69–76.</w:t>
      </w:r>
    </w:p>
    <w:p w:rsidR="0044684E" w:rsidRPr="00002900" w:rsidRDefault="00F35E8B" w:rsidP="0070149F">
      <w:pPr>
        <w:jc w:val="both"/>
        <w:rPr>
          <w:rFonts w:ascii="Cambria" w:hAnsi="Cambria" w:cs="Tahoma"/>
          <w:sz w:val="24"/>
          <w:szCs w:val="24"/>
        </w:rPr>
      </w:pPr>
      <w:r w:rsidRPr="00002900">
        <w:rPr>
          <w:rFonts w:ascii="Cambria" w:hAnsi="Cambria" w:cs="Tahoma"/>
          <w:sz w:val="24"/>
          <w:szCs w:val="24"/>
        </w:rPr>
        <w:fldChar w:fldCharType="end"/>
      </w:r>
    </w:p>
    <w:p w:rsidR="0044684E" w:rsidRPr="00002900" w:rsidRDefault="0044684E" w:rsidP="0070149F">
      <w:pPr>
        <w:spacing w:after="0" w:line="360" w:lineRule="auto"/>
        <w:ind w:firstLine="709"/>
        <w:jc w:val="both"/>
        <w:rPr>
          <w:rFonts w:ascii="Cambria" w:hAnsi="Cambria" w:cs="Tahoma"/>
          <w:sz w:val="24"/>
          <w:szCs w:val="24"/>
        </w:rPr>
      </w:pPr>
    </w:p>
    <w:sectPr w:rsidR="0044684E" w:rsidRPr="00002900" w:rsidSect="00A15A7C">
      <w:pgSz w:w="11907" w:h="16840" w:code="9"/>
      <w:pgMar w:top="1701" w:right="1701" w:bottom="170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43B65"/>
    <w:multiLevelType w:val="hybridMultilevel"/>
    <w:tmpl w:val="77A6B4B0"/>
    <w:lvl w:ilvl="0" w:tplc="2E6897C0">
      <w:start w:val="1"/>
      <w:numFmt w:val="decimal"/>
      <w:lvlText w:val="%1."/>
      <w:lvlJc w:val="left"/>
      <w:pPr>
        <w:ind w:left="720" w:hanging="360"/>
      </w:pPr>
      <w:rPr>
        <w:rFonts w:hint="default"/>
      </w:rPr>
    </w:lvl>
    <w:lvl w:ilvl="1" w:tplc="506A4A8A" w:tentative="1">
      <w:start w:val="1"/>
      <w:numFmt w:val="lowerLetter"/>
      <w:lvlText w:val="%2."/>
      <w:lvlJc w:val="left"/>
      <w:pPr>
        <w:ind w:left="1440" w:hanging="360"/>
      </w:pPr>
    </w:lvl>
    <w:lvl w:ilvl="2" w:tplc="1B923842" w:tentative="1">
      <w:start w:val="1"/>
      <w:numFmt w:val="lowerRoman"/>
      <w:lvlText w:val="%3."/>
      <w:lvlJc w:val="right"/>
      <w:pPr>
        <w:ind w:left="2160" w:hanging="180"/>
      </w:pPr>
    </w:lvl>
    <w:lvl w:ilvl="3" w:tplc="CF907FAE" w:tentative="1">
      <w:start w:val="1"/>
      <w:numFmt w:val="decimal"/>
      <w:lvlText w:val="%4."/>
      <w:lvlJc w:val="left"/>
      <w:pPr>
        <w:ind w:left="2880" w:hanging="360"/>
      </w:pPr>
    </w:lvl>
    <w:lvl w:ilvl="4" w:tplc="9FE6C39E" w:tentative="1">
      <w:start w:val="1"/>
      <w:numFmt w:val="lowerLetter"/>
      <w:lvlText w:val="%5."/>
      <w:lvlJc w:val="left"/>
      <w:pPr>
        <w:ind w:left="3600" w:hanging="360"/>
      </w:pPr>
    </w:lvl>
    <w:lvl w:ilvl="5" w:tplc="072EB2BE" w:tentative="1">
      <w:start w:val="1"/>
      <w:numFmt w:val="lowerRoman"/>
      <w:lvlText w:val="%6."/>
      <w:lvlJc w:val="right"/>
      <w:pPr>
        <w:ind w:left="4320" w:hanging="180"/>
      </w:pPr>
    </w:lvl>
    <w:lvl w:ilvl="6" w:tplc="C6AAEAAE" w:tentative="1">
      <w:start w:val="1"/>
      <w:numFmt w:val="decimal"/>
      <w:lvlText w:val="%7."/>
      <w:lvlJc w:val="left"/>
      <w:pPr>
        <w:ind w:left="5040" w:hanging="360"/>
      </w:pPr>
    </w:lvl>
    <w:lvl w:ilvl="7" w:tplc="A7B4232E" w:tentative="1">
      <w:start w:val="1"/>
      <w:numFmt w:val="lowerLetter"/>
      <w:lvlText w:val="%8."/>
      <w:lvlJc w:val="left"/>
      <w:pPr>
        <w:ind w:left="5760" w:hanging="360"/>
      </w:pPr>
    </w:lvl>
    <w:lvl w:ilvl="8" w:tplc="0068FE12" w:tentative="1">
      <w:start w:val="1"/>
      <w:numFmt w:val="lowerRoman"/>
      <w:lvlText w:val="%9."/>
      <w:lvlJc w:val="right"/>
      <w:pPr>
        <w:ind w:left="6480" w:hanging="180"/>
      </w:pPr>
    </w:lvl>
  </w:abstractNum>
  <w:abstractNum w:abstractNumId="1">
    <w:nsid w:val="366E4E3C"/>
    <w:multiLevelType w:val="hybridMultilevel"/>
    <w:tmpl w:val="3ED62B24"/>
    <w:lvl w:ilvl="0" w:tplc="7BEA4496">
      <w:start w:val="1"/>
      <w:numFmt w:val="decimal"/>
      <w:lvlText w:val="%1."/>
      <w:lvlJc w:val="left"/>
      <w:pPr>
        <w:ind w:left="1069" w:hanging="360"/>
      </w:pPr>
      <w:rPr>
        <w:rFonts w:asciiTheme="minorHAnsi" w:hAnsiTheme="minorHAnsi" w:hint="default"/>
        <w:b w:val="0"/>
        <w:sz w:val="22"/>
      </w:rPr>
    </w:lvl>
    <w:lvl w:ilvl="1" w:tplc="9C607D5C" w:tentative="1">
      <w:start w:val="1"/>
      <w:numFmt w:val="lowerLetter"/>
      <w:lvlText w:val="%2."/>
      <w:lvlJc w:val="left"/>
      <w:pPr>
        <w:ind w:left="1789" w:hanging="360"/>
      </w:pPr>
    </w:lvl>
    <w:lvl w:ilvl="2" w:tplc="D11248EC" w:tentative="1">
      <w:start w:val="1"/>
      <w:numFmt w:val="lowerRoman"/>
      <w:lvlText w:val="%3."/>
      <w:lvlJc w:val="right"/>
      <w:pPr>
        <w:ind w:left="2509" w:hanging="180"/>
      </w:pPr>
    </w:lvl>
    <w:lvl w:ilvl="3" w:tplc="1228DC18" w:tentative="1">
      <w:start w:val="1"/>
      <w:numFmt w:val="decimal"/>
      <w:lvlText w:val="%4."/>
      <w:lvlJc w:val="left"/>
      <w:pPr>
        <w:ind w:left="3229" w:hanging="360"/>
      </w:pPr>
    </w:lvl>
    <w:lvl w:ilvl="4" w:tplc="31F269E6" w:tentative="1">
      <w:start w:val="1"/>
      <w:numFmt w:val="lowerLetter"/>
      <w:lvlText w:val="%5."/>
      <w:lvlJc w:val="left"/>
      <w:pPr>
        <w:ind w:left="3949" w:hanging="360"/>
      </w:pPr>
    </w:lvl>
    <w:lvl w:ilvl="5" w:tplc="0A641108" w:tentative="1">
      <w:start w:val="1"/>
      <w:numFmt w:val="lowerRoman"/>
      <w:lvlText w:val="%6."/>
      <w:lvlJc w:val="right"/>
      <w:pPr>
        <w:ind w:left="4669" w:hanging="180"/>
      </w:pPr>
    </w:lvl>
    <w:lvl w:ilvl="6" w:tplc="C5DE9144" w:tentative="1">
      <w:start w:val="1"/>
      <w:numFmt w:val="decimal"/>
      <w:lvlText w:val="%7."/>
      <w:lvlJc w:val="left"/>
      <w:pPr>
        <w:ind w:left="5389" w:hanging="360"/>
      </w:pPr>
    </w:lvl>
    <w:lvl w:ilvl="7" w:tplc="89B69D50" w:tentative="1">
      <w:start w:val="1"/>
      <w:numFmt w:val="lowerLetter"/>
      <w:lvlText w:val="%8."/>
      <w:lvlJc w:val="left"/>
      <w:pPr>
        <w:ind w:left="6109" w:hanging="360"/>
      </w:pPr>
    </w:lvl>
    <w:lvl w:ilvl="8" w:tplc="84A419B6" w:tentative="1">
      <w:start w:val="1"/>
      <w:numFmt w:val="lowerRoman"/>
      <w:lvlText w:val="%9."/>
      <w:lvlJc w:val="right"/>
      <w:pPr>
        <w:ind w:left="6829" w:hanging="180"/>
      </w:pPr>
    </w:lvl>
  </w:abstractNum>
  <w:abstractNum w:abstractNumId="2">
    <w:nsid w:val="49E35EB8"/>
    <w:multiLevelType w:val="hybridMultilevel"/>
    <w:tmpl w:val="90B4B13A"/>
    <w:lvl w:ilvl="0" w:tplc="76341192">
      <w:start w:val="1"/>
      <w:numFmt w:val="decimal"/>
      <w:lvlText w:val="%1."/>
      <w:lvlJc w:val="left"/>
      <w:pPr>
        <w:ind w:left="720" w:hanging="360"/>
      </w:pPr>
      <w:rPr>
        <w:rFonts w:hint="default"/>
      </w:rPr>
    </w:lvl>
    <w:lvl w:ilvl="1" w:tplc="6C0461A2" w:tentative="1">
      <w:start w:val="1"/>
      <w:numFmt w:val="lowerLetter"/>
      <w:lvlText w:val="%2."/>
      <w:lvlJc w:val="left"/>
      <w:pPr>
        <w:ind w:left="1440" w:hanging="360"/>
      </w:pPr>
    </w:lvl>
    <w:lvl w:ilvl="2" w:tplc="1F52EE50" w:tentative="1">
      <w:start w:val="1"/>
      <w:numFmt w:val="lowerRoman"/>
      <w:lvlText w:val="%3."/>
      <w:lvlJc w:val="right"/>
      <w:pPr>
        <w:ind w:left="2160" w:hanging="180"/>
      </w:pPr>
    </w:lvl>
    <w:lvl w:ilvl="3" w:tplc="2D405146" w:tentative="1">
      <w:start w:val="1"/>
      <w:numFmt w:val="decimal"/>
      <w:lvlText w:val="%4."/>
      <w:lvlJc w:val="left"/>
      <w:pPr>
        <w:ind w:left="2880" w:hanging="360"/>
      </w:pPr>
    </w:lvl>
    <w:lvl w:ilvl="4" w:tplc="6346F6B6" w:tentative="1">
      <w:start w:val="1"/>
      <w:numFmt w:val="lowerLetter"/>
      <w:lvlText w:val="%5."/>
      <w:lvlJc w:val="left"/>
      <w:pPr>
        <w:ind w:left="3600" w:hanging="360"/>
      </w:pPr>
    </w:lvl>
    <w:lvl w:ilvl="5" w:tplc="67D825AA" w:tentative="1">
      <w:start w:val="1"/>
      <w:numFmt w:val="lowerRoman"/>
      <w:lvlText w:val="%6."/>
      <w:lvlJc w:val="right"/>
      <w:pPr>
        <w:ind w:left="4320" w:hanging="180"/>
      </w:pPr>
    </w:lvl>
    <w:lvl w:ilvl="6" w:tplc="5D4A79BA" w:tentative="1">
      <w:start w:val="1"/>
      <w:numFmt w:val="decimal"/>
      <w:lvlText w:val="%7."/>
      <w:lvlJc w:val="left"/>
      <w:pPr>
        <w:ind w:left="5040" w:hanging="360"/>
      </w:pPr>
    </w:lvl>
    <w:lvl w:ilvl="7" w:tplc="77A0C1E2" w:tentative="1">
      <w:start w:val="1"/>
      <w:numFmt w:val="lowerLetter"/>
      <w:lvlText w:val="%8."/>
      <w:lvlJc w:val="left"/>
      <w:pPr>
        <w:ind w:left="5760" w:hanging="360"/>
      </w:pPr>
    </w:lvl>
    <w:lvl w:ilvl="8" w:tplc="9586C164" w:tentative="1">
      <w:start w:val="1"/>
      <w:numFmt w:val="lowerRoman"/>
      <w:lvlText w:val="%9."/>
      <w:lvlJc w:val="right"/>
      <w:pPr>
        <w:ind w:left="6480" w:hanging="180"/>
      </w:pPr>
    </w:lvl>
  </w:abstractNum>
  <w:abstractNum w:abstractNumId="3">
    <w:nsid w:val="58FB6F82"/>
    <w:multiLevelType w:val="hybridMultilevel"/>
    <w:tmpl w:val="AFE2158A"/>
    <w:lvl w:ilvl="0" w:tplc="D87003CA">
      <w:start w:val="2"/>
      <w:numFmt w:val="bullet"/>
      <w:lvlText w:val=""/>
      <w:lvlJc w:val="left"/>
      <w:pPr>
        <w:ind w:left="720" w:hanging="360"/>
      </w:pPr>
      <w:rPr>
        <w:rFonts w:ascii="Symbol" w:eastAsia="Times New Roman" w:hAnsi="Symbol"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9AA2693"/>
    <w:multiLevelType w:val="hybridMultilevel"/>
    <w:tmpl w:val="95A6727E"/>
    <w:lvl w:ilvl="0" w:tplc="05421CF0">
      <w:start w:val="5"/>
      <w:numFmt w:val="decimal"/>
      <w:lvlText w:val="%1."/>
      <w:lvlJc w:val="left"/>
      <w:pPr>
        <w:ind w:left="720" w:hanging="360"/>
      </w:pPr>
      <w:rPr>
        <w:rFonts w:hint="default"/>
      </w:rPr>
    </w:lvl>
    <w:lvl w:ilvl="1" w:tplc="A8A09A1C" w:tentative="1">
      <w:start w:val="1"/>
      <w:numFmt w:val="lowerLetter"/>
      <w:lvlText w:val="%2."/>
      <w:lvlJc w:val="left"/>
      <w:pPr>
        <w:ind w:left="1440" w:hanging="360"/>
      </w:pPr>
    </w:lvl>
    <w:lvl w:ilvl="2" w:tplc="C5282C4A" w:tentative="1">
      <w:start w:val="1"/>
      <w:numFmt w:val="lowerRoman"/>
      <w:lvlText w:val="%3."/>
      <w:lvlJc w:val="right"/>
      <w:pPr>
        <w:ind w:left="2160" w:hanging="180"/>
      </w:pPr>
    </w:lvl>
    <w:lvl w:ilvl="3" w:tplc="59381930" w:tentative="1">
      <w:start w:val="1"/>
      <w:numFmt w:val="decimal"/>
      <w:lvlText w:val="%4."/>
      <w:lvlJc w:val="left"/>
      <w:pPr>
        <w:ind w:left="2880" w:hanging="360"/>
      </w:pPr>
    </w:lvl>
    <w:lvl w:ilvl="4" w:tplc="CD829786" w:tentative="1">
      <w:start w:val="1"/>
      <w:numFmt w:val="lowerLetter"/>
      <w:lvlText w:val="%5."/>
      <w:lvlJc w:val="left"/>
      <w:pPr>
        <w:ind w:left="3600" w:hanging="360"/>
      </w:pPr>
    </w:lvl>
    <w:lvl w:ilvl="5" w:tplc="5ACA585A" w:tentative="1">
      <w:start w:val="1"/>
      <w:numFmt w:val="lowerRoman"/>
      <w:lvlText w:val="%6."/>
      <w:lvlJc w:val="right"/>
      <w:pPr>
        <w:ind w:left="4320" w:hanging="180"/>
      </w:pPr>
    </w:lvl>
    <w:lvl w:ilvl="6" w:tplc="0C3E2A10" w:tentative="1">
      <w:start w:val="1"/>
      <w:numFmt w:val="decimal"/>
      <w:lvlText w:val="%7."/>
      <w:lvlJc w:val="left"/>
      <w:pPr>
        <w:ind w:left="5040" w:hanging="360"/>
      </w:pPr>
    </w:lvl>
    <w:lvl w:ilvl="7" w:tplc="19D8FBF6" w:tentative="1">
      <w:start w:val="1"/>
      <w:numFmt w:val="lowerLetter"/>
      <w:lvlText w:val="%8."/>
      <w:lvlJc w:val="left"/>
      <w:pPr>
        <w:ind w:left="5760" w:hanging="360"/>
      </w:pPr>
    </w:lvl>
    <w:lvl w:ilvl="8" w:tplc="C0FE568A" w:tentative="1">
      <w:start w:val="1"/>
      <w:numFmt w:val="lowerRoman"/>
      <w:lvlText w:val="%9."/>
      <w:lvlJc w:val="right"/>
      <w:pPr>
        <w:ind w:left="6480" w:hanging="180"/>
      </w:pPr>
    </w:lvl>
  </w:abstractNum>
  <w:abstractNum w:abstractNumId="5">
    <w:nsid w:val="65CE4FEB"/>
    <w:multiLevelType w:val="hybridMultilevel"/>
    <w:tmpl w:val="F8C0621E"/>
    <w:lvl w:ilvl="0" w:tplc="491645FC">
      <w:numFmt w:val="bullet"/>
      <w:lvlText w:val=""/>
      <w:lvlJc w:val="left"/>
      <w:pPr>
        <w:ind w:left="2520" w:hanging="360"/>
      </w:pPr>
      <w:rPr>
        <w:rFonts w:ascii="Symbol" w:eastAsiaTheme="minorHAnsi" w:hAnsi="Symbol" w:cs="Tahoma" w:hint="default"/>
      </w:rPr>
    </w:lvl>
    <w:lvl w:ilvl="1" w:tplc="2222C12C" w:tentative="1">
      <w:start w:val="1"/>
      <w:numFmt w:val="bullet"/>
      <w:lvlText w:val="o"/>
      <w:lvlJc w:val="left"/>
      <w:pPr>
        <w:ind w:left="3240" w:hanging="360"/>
      </w:pPr>
      <w:rPr>
        <w:rFonts w:ascii="Courier New" w:hAnsi="Courier New" w:cs="Courier New" w:hint="default"/>
      </w:rPr>
    </w:lvl>
    <w:lvl w:ilvl="2" w:tplc="2B84B8FE" w:tentative="1">
      <w:start w:val="1"/>
      <w:numFmt w:val="bullet"/>
      <w:lvlText w:val=""/>
      <w:lvlJc w:val="left"/>
      <w:pPr>
        <w:ind w:left="3960" w:hanging="360"/>
      </w:pPr>
      <w:rPr>
        <w:rFonts w:ascii="Wingdings" w:hAnsi="Wingdings" w:hint="default"/>
      </w:rPr>
    </w:lvl>
    <w:lvl w:ilvl="3" w:tplc="9746C6D4" w:tentative="1">
      <w:start w:val="1"/>
      <w:numFmt w:val="bullet"/>
      <w:lvlText w:val=""/>
      <w:lvlJc w:val="left"/>
      <w:pPr>
        <w:ind w:left="4680" w:hanging="360"/>
      </w:pPr>
      <w:rPr>
        <w:rFonts w:ascii="Symbol" w:hAnsi="Symbol" w:hint="default"/>
      </w:rPr>
    </w:lvl>
    <w:lvl w:ilvl="4" w:tplc="44B41F5A" w:tentative="1">
      <w:start w:val="1"/>
      <w:numFmt w:val="bullet"/>
      <w:lvlText w:val="o"/>
      <w:lvlJc w:val="left"/>
      <w:pPr>
        <w:ind w:left="5400" w:hanging="360"/>
      </w:pPr>
      <w:rPr>
        <w:rFonts w:ascii="Courier New" w:hAnsi="Courier New" w:cs="Courier New" w:hint="default"/>
      </w:rPr>
    </w:lvl>
    <w:lvl w:ilvl="5" w:tplc="3306FC38" w:tentative="1">
      <w:start w:val="1"/>
      <w:numFmt w:val="bullet"/>
      <w:lvlText w:val=""/>
      <w:lvlJc w:val="left"/>
      <w:pPr>
        <w:ind w:left="6120" w:hanging="360"/>
      </w:pPr>
      <w:rPr>
        <w:rFonts w:ascii="Wingdings" w:hAnsi="Wingdings" w:hint="default"/>
      </w:rPr>
    </w:lvl>
    <w:lvl w:ilvl="6" w:tplc="7BBC6E7E" w:tentative="1">
      <w:start w:val="1"/>
      <w:numFmt w:val="bullet"/>
      <w:lvlText w:val=""/>
      <w:lvlJc w:val="left"/>
      <w:pPr>
        <w:ind w:left="6840" w:hanging="360"/>
      </w:pPr>
      <w:rPr>
        <w:rFonts w:ascii="Symbol" w:hAnsi="Symbol" w:hint="default"/>
      </w:rPr>
    </w:lvl>
    <w:lvl w:ilvl="7" w:tplc="43CAF438" w:tentative="1">
      <w:start w:val="1"/>
      <w:numFmt w:val="bullet"/>
      <w:lvlText w:val="o"/>
      <w:lvlJc w:val="left"/>
      <w:pPr>
        <w:ind w:left="7560" w:hanging="360"/>
      </w:pPr>
      <w:rPr>
        <w:rFonts w:ascii="Courier New" w:hAnsi="Courier New" w:cs="Courier New" w:hint="default"/>
      </w:rPr>
    </w:lvl>
    <w:lvl w:ilvl="8" w:tplc="A8B6DA7C" w:tentative="1">
      <w:start w:val="1"/>
      <w:numFmt w:val="bullet"/>
      <w:lvlText w:val=""/>
      <w:lvlJc w:val="left"/>
      <w:pPr>
        <w:ind w:left="8280" w:hanging="360"/>
      </w:pPr>
      <w:rPr>
        <w:rFonts w:ascii="Wingdings" w:hAnsi="Wingdings" w:hint="default"/>
      </w:rPr>
    </w:lvl>
  </w:abstractNum>
  <w:abstractNum w:abstractNumId="6">
    <w:nsid w:val="6BF156DE"/>
    <w:multiLevelType w:val="hybridMultilevel"/>
    <w:tmpl w:val="614E7242"/>
    <w:lvl w:ilvl="0" w:tplc="0D6EB1B4">
      <w:start w:val="1"/>
      <w:numFmt w:val="decimal"/>
      <w:lvlText w:val="%1."/>
      <w:lvlJc w:val="left"/>
      <w:pPr>
        <w:ind w:left="720" w:hanging="360"/>
      </w:pPr>
      <w:rPr>
        <w:rFonts w:hint="default"/>
      </w:rPr>
    </w:lvl>
    <w:lvl w:ilvl="1" w:tplc="F78E9082" w:tentative="1">
      <w:start w:val="1"/>
      <w:numFmt w:val="lowerLetter"/>
      <w:lvlText w:val="%2."/>
      <w:lvlJc w:val="left"/>
      <w:pPr>
        <w:ind w:left="1440" w:hanging="360"/>
      </w:pPr>
    </w:lvl>
    <w:lvl w:ilvl="2" w:tplc="5852D73A" w:tentative="1">
      <w:start w:val="1"/>
      <w:numFmt w:val="lowerRoman"/>
      <w:lvlText w:val="%3."/>
      <w:lvlJc w:val="right"/>
      <w:pPr>
        <w:ind w:left="2160" w:hanging="180"/>
      </w:pPr>
    </w:lvl>
    <w:lvl w:ilvl="3" w:tplc="7608AB8C" w:tentative="1">
      <w:start w:val="1"/>
      <w:numFmt w:val="decimal"/>
      <w:lvlText w:val="%4."/>
      <w:lvlJc w:val="left"/>
      <w:pPr>
        <w:ind w:left="2880" w:hanging="360"/>
      </w:pPr>
    </w:lvl>
    <w:lvl w:ilvl="4" w:tplc="CA00FA94" w:tentative="1">
      <w:start w:val="1"/>
      <w:numFmt w:val="lowerLetter"/>
      <w:lvlText w:val="%5."/>
      <w:lvlJc w:val="left"/>
      <w:pPr>
        <w:ind w:left="3600" w:hanging="360"/>
      </w:pPr>
    </w:lvl>
    <w:lvl w:ilvl="5" w:tplc="A8EA909C" w:tentative="1">
      <w:start w:val="1"/>
      <w:numFmt w:val="lowerRoman"/>
      <w:lvlText w:val="%6."/>
      <w:lvlJc w:val="right"/>
      <w:pPr>
        <w:ind w:left="4320" w:hanging="180"/>
      </w:pPr>
    </w:lvl>
    <w:lvl w:ilvl="6" w:tplc="20EA3870" w:tentative="1">
      <w:start w:val="1"/>
      <w:numFmt w:val="decimal"/>
      <w:lvlText w:val="%7."/>
      <w:lvlJc w:val="left"/>
      <w:pPr>
        <w:ind w:left="5040" w:hanging="360"/>
      </w:pPr>
    </w:lvl>
    <w:lvl w:ilvl="7" w:tplc="A76C7EA0" w:tentative="1">
      <w:start w:val="1"/>
      <w:numFmt w:val="lowerLetter"/>
      <w:lvlText w:val="%8."/>
      <w:lvlJc w:val="left"/>
      <w:pPr>
        <w:ind w:left="5760" w:hanging="360"/>
      </w:pPr>
    </w:lvl>
    <w:lvl w:ilvl="8" w:tplc="43A46D0C"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8E7"/>
    <w:rsid w:val="00002900"/>
    <w:rsid w:val="00004CF6"/>
    <w:rsid w:val="0003688F"/>
    <w:rsid w:val="0003689B"/>
    <w:rsid w:val="000445D2"/>
    <w:rsid w:val="00047442"/>
    <w:rsid w:val="00051122"/>
    <w:rsid w:val="00055543"/>
    <w:rsid w:val="0007122E"/>
    <w:rsid w:val="0007189C"/>
    <w:rsid w:val="00073F87"/>
    <w:rsid w:val="00074C14"/>
    <w:rsid w:val="00076B81"/>
    <w:rsid w:val="00080F2B"/>
    <w:rsid w:val="00082561"/>
    <w:rsid w:val="00083158"/>
    <w:rsid w:val="00085B59"/>
    <w:rsid w:val="000870D3"/>
    <w:rsid w:val="000963C3"/>
    <w:rsid w:val="000C6C68"/>
    <w:rsid w:val="000D0EC0"/>
    <w:rsid w:val="000E4301"/>
    <w:rsid w:val="000E4933"/>
    <w:rsid w:val="000E4FC2"/>
    <w:rsid w:val="000E7C31"/>
    <w:rsid w:val="000F1300"/>
    <w:rsid w:val="001028B6"/>
    <w:rsid w:val="00105284"/>
    <w:rsid w:val="001074CD"/>
    <w:rsid w:val="00114717"/>
    <w:rsid w:val="00116507"/>
    <w:rsid w:val="00125FF4"/>
    <w:rsid w:val="00131A25"/>
    <w:rsid w:val="001332CA"/>
    <w:rsid w:val="00137FED"/>
    <w:rsid w:val="00142E3D"/>
    <w:rsid w:val="00143D92"/>
    <w:rsid w:val="0014424E"/>
    <w:rsid w:val="00147476"/>
    <w:rsid w:val="00155E45"/>
    <w:rsid w:val="00180E6D"/>
    <w:rsid w:val="00191F7B"/>
    <w:rsid w:val="001A00A0"/>
    <w:rsid w:val="001B45C9"/>
    <w:rsid w:val="001C4EC6"/>
    <w:rsid w:val="001D6A0F"/>
    <w:rsid w:val="001E1C22"/>
    <w:rsid w:val="001F2144"/>
    <w:rsid w:val="001F3B51"/>
    <w:rsid w:val="00206B58"/>
    <w:rsid w:val="00215CB5"/>
    <w:rsid w:val="00234A1A"/>
    <w:rsid w:val="00235863"/>
    <w:rsid w:val="0025192E"/>
    <w:rsid w:val="0025682D"/>
    <w:rsid w:val="002572B9"/>
    <w:rsid w:val="00267828"/>
    <w:rsid w:val="00267F95"/>
    <w:rsid w:val="002763D3"/>
    <w:rsid w:val="002835E3"/>
    <w:rsid w:val="00291AA0"/>
    <w:rsid w:val="002A3B4B"/>
    <w:rsid w:val="002B5D0E"/>
    <w:rsid w:val="002C085F"/>
    <w:rsid w:val="002C2457"/>
    <w:rsid w:val="002C6B7C"/>
    <w:rsid w:val="002D02A0"/>
    <w:rsid w:val="002D24EC"/>
    <w:rsid w:val="002D4A46"/>
    <w:rsid w:val="002D5886"/>
    <w:rsid w:val="002D7596"/>
    <w:rsid w:val="00311D55"/>
    <w:rsid w:val="00321546"/>
    <w:rsid w:val="003235C4"/>
    <w:rsid w:val="00355F96"/>
    <w:rsid w:val="003563EA"/>
    <w:rsid w:val="003844C5"/>
    <w:rsid w:val="00385805"/>
    <w:rsid w:val="00394EF5"/>
    <w:rsid w:val="00396B57"/>
    <w:rsid w:val="003A57AA"/>
    <w:rsid w:val="003C7FC5"/>
    <w:rsid w:val="003D7A23"/>
    <w:rsid w:val="003E119C"/>
    <w:rsid w:val="003E544B"/>
    <w:rsid w:val="003F1BC2"/>
    <w:rsid w:val="00401212"/>
    <w:rsid w:val="00404A31"/>
    <w:rsid w:val="00406393"/>
    <w:rsid w:val="00407478"/>
    <w:rsid w:val="00407C9C"/>
    <w:rsid w:val="004104DB"/>
    <w:rsid w:val="00411765"/>
    <w:rsid w:val="004221A8"/>
    <w:rsid w:val="004226C0"/>
    <w:rsid w:val="00432944"/>
    <w:rsid w:val="00433346"/>
    <w:rsid w:val="004421BC"/>
    <w:rsid w:val="00442898"/>
    <w:rsid w:val="0044684E"/>
    <w:rsid w:val="00447B30"/>
    <w:rsid w:val="0045136C"/>
    <w:rsid w:val="00456A96"/>
    <w:rsid w:val="0045749A"/>
    <w:rsid w:val="00466511"/>
    <w:rsid w:val="0048420A"/>
    <w:rsid w:val="004A0453"/>
    <w:rsid w:val="004B7C6E"/>
    <w:rsid w:val="004C323D"/>
    <w:rsid w:val="004D50FD"/>
    <w:rsid w:val="004D79BA"/>
    <w:rsid w:val="004E3B56"/>
    <w:rsid w:val="004E5644"/>
    <w:rsid w:val="004F708B"/>
    <w:rsid w:val="00501BC4"/>
    <w:rsid w:val="005025B6"/>
    <w:rsid w:val="005057BA"/>
    <w:rsid w:val="00506575"/>
    <w:rsid w:val="00511864"/>
    <w:rsid w:val="005374BD"/>
    <w:rsid w:val="00544FC9"/>
    <w:rsid w:val="00545461"/>
    <w:rsid w:val="00566C5C"/>
    <w:rsid w:val="00572B8E"/>
    <w:rsid w:val="0059408D"/>
    <w:rsid w:val="005A246B"/>
    <w:rsid w:val="005A3F1B"/>
    <w:rsid w:val="005E076B"/>
    <w:rsid w:val="005E383F"/>
    <w:rsid w:val="005F14A0"/>
    <w:rsid w:val="00602EDD"/>
    <w:rsid w:val="006032A2"/>
    <w:rsid w:val="006144E1"/>
    <w:rsid w:val="00617E52"/>
    <w:rsid w:val="006216F5"/>
    <w:rsid w:val="0063180E"/>
    <w:rsid w:val="00646F65"/>
    <w:rsid w:val="00653A81"/>
    <w:rsid w:val="00654B98"/>
    <w:rsid w:val="0068430C"/>
    <w:rsid w:val="00684FD1"/>
    <w:rsid w:val="00685FDB"/>
    <w:rsid w:val="00691B6B"/>
    <w:rsid w:val="00693CD5"/>
    <w:rsid w:val="0069468B"/>
    <w:rsid w:val="006C0232"/>
    <w:rsid w:val="006C5D27"/>
    <w:rsid w:val="006E099F"/>
    <w:rsid w:val="006F3030"/>
    <w:rsid w:val="006F52A6"/>
    <w:rsid w:val="0070149F"/>
    <w:rsid w:val="00704D66"/>
    <w:rsid w:val="007059BA"/>
    <w:rsid w:val="00736488"/>
    <w:rsid w:val="00743C86"/>
    <w:rsid w:val="00764EFC"/>
    <w:rsid w:val="007670F3"/>
    <w:rsid w:val="00776D75"/>
    <w:rsid w:val="0078776E"/>
    <w:rsid w:val="0079353C"/>
    <w:rsid w:val="0079569F"/>
    <w:rsid w:val="00797A82"/>
    <w:rsid w:val="007A126B"/>
    <w:rsid w:val="007B2638"/>
    <w:rsid w:val="007C1D71"/>
    <w:rsid w:val="007C777D"/>
    <w:rsid w:val="007D3AD5"/>
    <w:rsid w:val="007E69FA"/>
    <w:rsid w:val="007F0970"/>
    <w:rsid w:val="008075E0"/>
    <w:rsid w:val="00816357"/>
    <w:rsid w:val="008221C2"/>
    <w:rsid w:val="008227A6"/>
    <w:rsid w:val="00825449"/>
    <w:rsid w:val="00826126"/>
    <w:rsid w:val="00843943"/>
    <w:rsid w:val="00847222"/>
    <w:rsid w:val="0085216D"/>
    <w:rsid w:val="008528A0"/>
    <w:rsid w:val="00860801"/>
    <w:rsid w:val="00864018"/>
    <w:rsid w:val="00871FBA"/>
    <w:rsid w:val="00873FBC"/>
    <w:rsid w:val="0087742D"/>
    <w:rsid w:val="00883D25"/>
    <w:rsid w:val="008847ED"/>
    <w:rsid w:val="00887889"/>
    <w:rsid w:val="008970DB"/>
    <w:rsid w:val="008A0657"/>
    <w:rsid w:val="008A5DE0"/>
    <w:rsid w:val="008B12DF"/>
    <w:rsid w:val="008B1A8F"/>
    <w:rsid w:val="008B7EA6"/>
    <w:rsid w:val="008D271B"/>
    <w:rsid w:val="008D5E9B"/>
    <w:rsid w:val="008E22B1"/>
    <w:rsid w:val="008E7C98"/>
    <w:rsid w:val="008F71A9"/>
    <w:rsid w:val="0090686C"/>
    <w:rsid w:val="00907E27"/>
    <w:rsid w:val="00936DF7"/>
    <w:rsid w:val="0094281D"/>
    <w:rsid w:val="00953D55"/>
    <w:rsid w:val="00956775"/>
    <w:rsid w:val="00971B44"/>
    <w:rsid w:val="0097728E"/>
    <w:rsid w:val="00990AE0"/>
    <w:rsid w:val="0099247C"/>
    <w:rsid w:val="00994D1F"/>
    <w:rsid w:val="0099524C"/>
    <w:rsid w:val="009C112E"/>
    <w:rsid w:val="009D0077"/>
    <w:rsid w:val="009D3C0A"/>
    <w:rsid w:val="009E3E7D"/>
    <w:rsid w:val="009F37A3"/>
    <w:rsid w:val="009F4806"/>
    <w:rsid w:val="00A01D83"/>
    <w:rsid w:val="00A06C86"/>
    <w:rsid w:val="00A13407"/>
    <w:rsid w:val="00A15A7C"/>
    <w:rsid w:val="00A62629"/>
    <w:rsid w:val="00A83C82"/>
    <w:rsid w:val="00AD350E"/>
    <w:rsid w:val="00AF7EC1"/>
    <w:rsid w:val="00B036C8"/>
    <w:rsid w:val="00B25E16"/>
    <w:rsid w:val="00B34E53"/>
    <w:rsid w:val="00B42702"/>
    <w:rsid w:val="00B440F6"/>
    <w:rsid w:val="00B51DA6"/>
    <w:rsid w:val="00B61849"/>
    <w:rsid w:val="00B62222"/>
    <w:rsid w:val="00B70FE1"/>
    <w:rsid w:val="00B75800"/>
    <w:rsid w:val="00B829E2"/>
    <w:rsid w:val="00B90C50"/>
    <w:rsid w:val="00BA2D3F"/>
    <w:rsid w:val="00BB1017"/>
    <w:rsid w:val="00BB7953"/>
    <w:rsid w:val="00BD2708"/>
    <w:rsid w:val="00BD2F8A"/>
    <w:rsid w:val="00BD5F69"/>
    <w:rsid w:val="00BD7C90"/>
    <w:rsid w:val="00BE67BA"/>
    <w:rsid w:val="00BE6FA0"/>
    <w:rsid w:val="00BF2A80"/>
    <w:rsid w:val="00C06F96"/>
    <w:rsid w:val="00C22F7F"/>
    <w:rsid w:val="00C24863"/>
    <w:rsid w:val="00C3125C"/>
    <w:rsid w:val="00C558CA"/>
    <w:rsid w:val="00C817D5"/>
    <w:rsid w:val="00CA799B"/>
    <w:rsid w:val="00CB1F9B"/>
    <w:rsid w:val="00CB70CC"/>
    <w:rsid w:val="00CF4A22"/>
    <w:rsid w:val="00D1767F"/>
    <w:rsid w:val="00D34E7B"/>
    <w:rsid w:val="00D44070"/>
    <w:rsid w:val="00D44358"/>
    <w:rsid w:val="00D46C96"/>
    <w:rsid w:val="00D706BD"/>
    <w:rsid w:val="00D7088A"/>
    <w:rsid w:val="00D7362C"/>
    <w:rsid w:val="00D8285C"/>
    <w:rsid w:val="00D83B56"/>
    <w:rsid w:val="00DA48E7"/>
    <w:rsid w:val="00DB2D36"/>
    <w:rsid w:val="00DB4396"/>
    <w:rsid w:val="00DC0372"/>
    <w:rsid w:val="00DC084B"/>
    <w:rsid w:val="00DC2FA4"/>
    <w:rsid w:val="00DC4C5E"/>
    <w:rsid w:val="00DE1AAA"/>
    <w:rsid w:val="00DE755F"/>
    <w:rsid w:val="00DE7B83"/>
    <w:rsid w:val="00DF129C"/>
    <w:rsid w:val="00DF5D47"/>
    <w:rsid w:val="00E01749"/>
    <w:rsid w:val="00E02BC4"/>
    <w:rsid w:val="00E0411C"/>
    <w:rsid w:val="00E17AF0"/>
    <w:rsid w:val="00E26343"/>
    <w:rsid w:val="00E34A02"/>
    <w:rsid w:val="00E53A25"/>
    <w:rsid w:val="00E5629A"/>
    <w:rsid w:val="00E64170"/>
    <w:rsid w:val="00E773F2"/>
    <w:rsid w:val="00E9137D"/>
    <w:rsid w:val="00E952E8"/>
    <w:rsid w:val="00E96520"/>
    <w:rsid w:val="00EA577A"/>
    <w:rsid w:val="00EC1FB1"/>
    <w:rsid w:val="00EE242D"/>
    <w:rsid w:val="00EF12FC"/>
    <w:rsid w:val="00F00B79"/>
    <w:rsid w:val="00F012B4"/>
    <w:rsid w:val="00F07630"/>
    <w:rsid w:val="00F07655"/>
    <w:rsid w:val="00F1382F"/>
    <w:rsid w:val="00F21E46"/>
    <w:rsid w:val="00F22B2E"/>
    <w:rsid w:val="00F35E8B"/>
    <w:rsid w:val="00F40F89"/>
    <w:rsid w:val="00F431F3"/>
    <w:rsid w:val="00F62BB5"/>
    <w:rsid w:val="00F71435"/>
    <w:rsid w:val="00F71AC2"/>
    <w:rsid w:val="00F76F59"/>
    <w:rsid w:val="00F7796F"/>
    <w:rsid w:val="00F77A5E"/>
    <w:rsid w:val="00F83ECE"/>
    <w:rsid w:val="00F871E5"/>
    <w:rsid w:val="00F96F8A"/>
    <w:rsid w:val="00F97264"/>
    <w:rsid w:val="00FA383C"/>
    <w:rsid w:val="00FB5407"/>
    <w:rsid w:val="00FC34F1"/>
    <w:rsid w:val="00FD1235"/>
    <w:rsid w:val="00FD432F"/>
    <w:rsid w:val="00FE51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61C93-7CCB-482D-B438-2469B28E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68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2F8A"/>
    <w:pPr>
      <w:ind w:left="720"/>
      <w:contextualSpacing/>
    </w:pPr>
  </w:style>
  <w:style w:type="paragraph" w:styleId="NormalWeb">
    <w:name w:val="Normal (Web)"/>
    <w:basedOn w:val="Normal"/>
    <w:uiPriority w:val="99"/>
    <w:unhideWhenUsed/>
    <w:rsid w:val="0025192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semiHidden/>
    <w:unhideWhenUsed/>
    <w:rsid w:val="00456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A96"/>
    <w:rPr>
      <w:sz w:val="20"/>
      <w:szCs w:val="20"/>
    </w:rPr>
  </w:style>
  <w:style w:type="character" w:styleId="FootnoteReference">
    <w:name w:val="footnote reference"/>
    <w:basedOn w:val="DefaultParagraphFont"/>
    <w:uiPriority w:val="99"/>
    <w:semiHidden/>
    <w:unhideWhenUsed/>
    <w:rsid w:val="00456A96"/>
    <w:rPr>
      <w:vertAlign w:val="superscript"/>
    </w:rPr>
  </w:style>
  <w:style w:type="table" w:styleId="TableGrid">
    <w:name w:val="Table Grid"/>
    <w:basedOn w:val="TableNormal"/>
    <w:uiPriority w:val="39"/>
    <w:rsid w:val="00F71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7088A"/>
    <w:rPr>
      <w:color w:val="808080"/>
    </w:rPr>
  </w:style>
  <w:style w:type="character" w:customStyle="1" w:styleId="ListParagraphChar">
    <w:name w:val="List Paragraph Char"/>
    <w:link w:val="ListParagraph"/>
    <w:uiPriority w:val="34"/>
    <w:locked/>
    <w:rsid w:val="00311D55"/>
  </w:style>
  <w:style w:type="character" w:customStyle="1" w:styleId="Heading1Char">
    <w:name w:val="Heading 1 Char"/>
    <w:basedOn w:val="DefaultParagraphFont"/>
    <w:link w:val="Heading1"/>
    <w:uiPriority w:val="9"/>
    <w:rsid w:val="0044684E"/>
    <w:rPr>
      <w:rFonts w:asciiTheme="majorHAnsi" w:eastAsiaTheme="majorEastAsia" w:hAnsiTheme="majorHAnsi" w:cstheme="majorBidi"/>
      <w:color w:val="2E74B5" w:themeColor="accent1" w:themeShade="BF"/>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
              <a:t>Financing BUS &amp; UUS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id-ID"/>
        </a:p>
      </c:txPr>
    </c:title>
    <c:autoTitleDeleted val="0"/>
    <c:plotArea>
      <c:layout/>
      <c:barChart>
        <c:barDir val="col"/>
        <c:grouping val="clustered"/>
        <c:varyColors val="0"/>
        <c:ser>
          <c:idx val="1"/>
          <c:order val="1"/>
          <c:tx>
            <c:strRef>
              <c:f>Sheet1!$A$3</c:f>
              <c:strCache>
                <c:ptCount val="1"/>
                <c:pt idx="0">
                  <c:v>Mudharabah</c:v>
                </c:pt>
              </c:strCache>
            </c:strRef>
          </c:tx>
          <c:spPr>
            <a:solidFill>
              <a:schemeClr val="accent4"/>
            </a:solidFill>
            <a:ln>
              <a:noFill/>
            </a:ln>
            <a:effectLst/>
          </c:spPr>
          <c:invertIfNegative val="0"/>
          <c:cat>
            <c:strRef>
              <c:f>Sheet1!$B$1:$I$1</c:f>
              <c:strCache>
                <c:ptCount val="6"/>
                <c:pt idx="0">
                  <c:v>2016</c:v>
                </c:pt>
                <c:pt idx="1">
                  <c:v>2017</c:v>
                </c:pt>
                <c:pt idx="2">
                  <c:v>2018</c:v>
                </c:pt>
                <c:pt idx="3">
                  <c:v>2019</c:v>
                </c:pt>
                <c:pt idx="4">
                  <c:v>2020</c:v>
                </c:pt>
                <c:pt idx="5">
                  <c:v>2021</c:v>
                </c:pt>
              </c:strCache>
            </c:strRef>
          </c:cat>
          <c:val>
            <c:numRef>
              <c:f>Sheet1!$B$3:$I$3</c:f>
              <c:numCache>
                <c:formatCode>_(* #,##0_);_(* \(#,##0\);_(* "-"??_);_(@_)</c:formatCode>
                <c:ptCount val="6"/>
                <c:pt idx="0">
                  <c:v>15291.645047784001</c:v>
                </c:pt>
                <c:pt idx="1">
                  <c:v>17089.570855906</c:v>
                </c:pt>
                <c:pt idx="2">
                  <c:v>15979.884111906907</c:v>
                </c:pt>
                <c:pt idx="3" formatCode="_(* #\ ##0_);_(* \(#\ ##0\);_(* &quot;-&quot;_);_(@_)">
                  <c:v>13175.811240108998</c:v>
                </c:pt>
                <c:pt idx="4" formatCode="_(* #\ ##0_);_(* \(#\ ##0\);_(* &quot;-&quot;_);_(@_)">
                  <c:v>10918.105903759</c:v>
                </c:pt>
                <c:pt idx="5" formatCode="General">
                  <c:v>10131.091592684666</c:v>
                </c:pt>
              </c:numCache>
            </c:numRef>
          </c:val>
        </c:ser>
        <c:ser>
          <c:idx val="2"/>
          <c:order val="2"/>
          <c:tx>
            <c:strRef>
              <c:f>Sheet1!$A$4</c:f>
              <c:strCache>
                <c:ptCount val="1"/>
                <c:pt idx="0">
                  <c:v>Musyarakah</c:v>
                </c:pt>
              </c:strCache>
            </c:strRef>
          </c:tx>
          <c:spPr>
            <a:solidFill>
              <a:schemeClr val="accent6"/>
            </a:solidFill>
            <a:ln>
              <a:noFill/>
            </a:ln>
            <a:effectLst/>
          </c:spPr>
          <c:invertIfNegative val="0"/>
          <c:cat>
            <c:strRef>
              <c:f>Sheet1!$B$1:$I$1</c:f>
              <c:strCache>
                <c:ptCount val="6"/>
                <c:pt idx="0">
                  <c:v>2016</c:v>
                </c:pt>
                <c:pt idx="1">
                  <c:v>2017</c:v>
                </c:pt>
                <c:pt idx="2">
                  <c:v>2018</c:v>
                </c:pt>
                <c:pt idx="3">
                  <c:v>2019</c:v>
                </c:pt>
                <c:pt idx="4">
                  <c:v>2020</c:v>
                </c:pt>
                <c:pt idx="5">
                  <c:v>2021</c:v>
                </c:pt>
              </c:strCache>
            </c:strRef>
          </c:cat>
          <c:val>
            <c:numRef>
              <c:f>Sheet1!$B$4:$I$4</c:f>
              <c:numCache>
                <c:formatCode>_(* #,##0_);_(* \(#,##0\);_(* "-"??_);_(@_)</c:formatCode>
                <c:ptCount val="6"/>
                <c:pt idx="0">
                  <c:v>78420.917398414007</c:v>
                </c:pt>
                <c:pt idx="1">
                  <c:v>101561.088741702</c:v>
                </c:pt>
                <c:pt idx="2">
                  <c:v>110777.25955379446</c:v>
                </c:pt>
                <c:pt idx="3" formatCode="_(* #\ ##0_);_(* \(#\ ##0\);_(* &quot;-&quot;_);_(@_)">
                  <c:v>150521.633026197</c:v>
                </c:pt>
                <c:pt idx="4" formatCode="_(* #\ ##0_);_(* \(#\ ##0\);_(* &quot;-&quot;_);_(@_)">
                  <c:v>166146.98432448998</c:v>
                </c:pt>
                <c:pt idx="5" formatCode="General">
                  <c:v>170319.19244843783</c:v>
                </c:pt>
              </c:numCache>
            </c:numRef>
          </c:val>
        </c:ser>
        <c:ser>
          <c:idx val="3"/>
          <c:order val="3"/>
          <c:tx>
            <c:strRef>
              <c:f>Sheet1!$A$5</c:f>
              <c:strCache>
                <c:ptCount val="1"/>
                <c:pt idx="0">
                  <c:v>Murabahah</c:v>
                </c:pt>
              </c:strCache>
            </c:strRef>
          </c:tx>
          <c:spPr>
            <a:solidFill>
              <a:schemeClr val="accent2">
                <a:lumMod val="60000"/>
              </a:schemeClr>
            </a:solidFill>
            <a:ln>
              <a:noFill/>
            </a:ln>
            <a:effectLst/>
          </c:spPr>
          <c:invertIfNegative val="0"/>
          <c:cat>
            <c:strRef>
              <c:f>Sheet1!$B$1:$I$1</c:f>
              <c:strCache>
                <c:ptCount val="6"/>
                <c:pt idx="0">
                  <c:v>2016</c:v>
                </c:pt>
                <c:pt idx="1">
                  <c:v>2017</c:v>
                </c:pt>
                <c:pt idx="2">
                  <c:v>2018</c:v>
                </c:pt>
                <c:pt idx="3">
                  <c:v>2019</c:v>
                </c:pt>
                <c:pt idx="4">
                  <c:v>2020</c:v>
                </c:pt>
                <c:pt idx="5">
                  <c:v>2021</c:v>
                </c:pt>
              </c:strCache>
            </c:strRef>
          </c:cat>
          <c:val>
            <c:numRef>
              <c:f>Sheet1!$B$5:$I$5</c:f>
              <c:numCache>
                <c:formatCode>_(* #,##0_);_(* \(#,##0\);_(* "-"??_);_(@_)</c:formatCode>
                <c:ptCount val="6"/>
                <c:pt idx="0">
                  <c:v>139536.21303418899</c:v>
                </c:pt>
                <c:pt idx="1">
                  <c:v>150276.06034446199</c:v>
                </c:pt>
                <c:pt idx="2">
                  <c:v>151769.28186003689</c:v>
                </c:pt>
                <c:pt idx="3" formatCode="_(* #\ ##0_);_(* \(#\ ##0\);_(* &quot;-&quot;_);_(@_)">
                  <c:v>158724.78442136702</c:v>
                </c:pt>
                <c:pt idx="4" formatCode="_(* #\ ##0_);_(* \(#\ ##0\);_(* &quot;-&quot;_);_(@_)">
                  <c:v>172547.720446113</c:v>
                </c:pt>
                <c:pt idx="5" formatCode="General">
                  <c:v>181174.437542739</c:v>
                </c:pt>
              </c:numCache>
            </c:numRef>
          </c:val>
        </c:ser>
        <c:ser>
          <c:idx val="4"/>
          <c:order val="4"/>
          <c:tx>
            <c:strRef>
              <c:f>Sheet1!$A$6</c:f>
              <c:strCache>
                <c:ptCount val="1"/>
                <c:pt idx="0">
                  <c:v>Qardh</c:v>
                </c:pt>
              </c:strCache>
            </c:strRef>
          </c:tx>
          <c:spPr>
            <a:solidFill>
              <a:schemeClr val="accent4">
                <a:lumMod val="60000"/>
              </a:schemeClr>
            </a:solidFill>
            <a:ln>
              <a:noFill/>
            </a:ln>
            <a:effectLst/>
          </c:spPr>
          <c:invertIfNegative val="0"/>
          <c:cat>
            <c:strRef>
              <c:f>Sheet1!$B$1:$I$1</c:f>
              <c:strCache>
                <c:ptCount val="6"/>
                <c:pt idx="0">
                  <c:v>2016</c:v>
                </c:pt>
                <c:pt idx="1">
                  <c:v>2017</c:v>
                </c:pt>
                <c:pt idx="2">
                  <c:v>2018</c:v>
                </c:pt>
                <c:pt idx="3">
                  <c:v>2019</c:v>
                </c:pt>
                <c:pt idx="4">
                  <c:v>2020</c:v>
                </c:pt>
                <c:pt idx="5">
                  <c:v>2021</c:v>
                </c:pt>
              </c:strCache>
            </c:strRef>
          </c:cat>
          <c:val>
            <c:numRef>
              <c:f>Sheet1!$B$6:$I$6</c:f>
              <c:numCache>
                <c:formatCode>_(* #,##0_);_(* \(#,##0\);_(* "-"??_);_(@_)</c:formatCode>
                <c:ptCount val="6"/>
                <c:pt idx="0">
                  <c:v>4730.7070661099997</c:v>
                </c:pt>
                <c:pt idx="1">
                  <c:v>6348.8281166650004</c:v>
                </c:pt>
                <c:pt idx="2">
                  <c:v>6797.4737037395471</c:v>
                </c:pt>
                <c:pt idx="3" formatCode="_(* #\ ##0_);_(* \(#\ ##0\);_(* &quot;-&quot;_);_(@_)">
                  <c:v>10031.063616082001</c:v>
                </c:pt>
                <c:pt idx="4" formatCode="_(* #\ ##0_);_(* \(#\ ##0\);_(* &quot;-&quot;_);_(@_)">
                  <c:v>10758.556241444001</c:v>
                </c:pt>
                <c:pt idx="5" formatCode="General">
                  <c:v>10477.527611726999</c:v>
                </c:pt>
              </c:numCache>
            </c:numRef>
          </c:val>
        </c:ser>
        <c:ser>
          <c:idx val="5"/>
          <c:order val="5"/>
          <c:tx>
            <c:strRef>
              <c:f>Sheet1!$A$7</c:f>
              <c:strCache>
                <c:ptCount val="1"/>
                <c:pt idx="0">
                  <c:v>Istishna'</c:v>
                </c:pt>
              </c:strCache>
            </c:strRef>
          </c:tx>
          <c:spPr>
            <a:solidFill>
              <a:schemeClr val="accent6">
                <a:lumMod val="60000"/>
              </a:schemeClr>
            </a:solidFill>
            <a:ln>
              <a:noFill/>
            </a:ln>
            <a:effectLst/>
          </c:spPr>
          <c:invertIfNegative val="0"/>
          <c:cat>
            <c:strRef>
              <c:f>Sheet1!$B$1:$I$1</c:f>
              <c:strCache>
                <c:ptCount val="6"/>
                <c:pt idx="0">
                  <c:v>2016</c:v>
                </c:pt>
                <c:pt idx="1">
                  <c:v>2017</c:v>
                </c:pt>
                <c:pt idx="2">
                  <c:v>2018</c:v>
                </c:pt>
                <c:pt idx="3">
                  <c:v>2019</c:v>
                </c:pt>
                <c:pt idx="4">
                  <c:v>2020</c:v>
                </c:pt>
                <c:pt idx="5">
                  <c:v>2021</c:v>
                </c:pt>
              </c:strCache>
            </c:strRef>
          </c:cat>
          <c:val>
            <c:numRef>
              <c:f>Sheet1!$B$7:$I$7</c:f>
              <c:numCache>
                <c:formatCode>_(* #,##0_);_(* \(#,##0\);_(* "-"??_);_(@_)</c:formatCode>
                <c:ptCount val="6"/>
                <c:pt idx="0">
                  <c:v>878.13241853900001</c:v>
                </c:pt>
                <c:pt idx="1">
                  <c:v>1188.6485440710001</c:v>
                </c:pt>
                <c:pt idx="2">
                  <c:v>1400.6632071460833</c:v>
                </c:pt>
                <c:pt idx="3" formatCode="_(* #\ ##0_);_(* \(#\ ##0\);_(* &quot;-&quot;_);_(@_)">
                  <c:v>2097.0573911380002</c:v>
                </c:pt>
                <c:pt idx="4" formatCode="_(* #\ ##0_);_(* \(#\ ##0\);_(* &quot;-&quot;_);_(@_)">
                  <c:v>2348.4471200479998</c:v>
                </c:pt>
                <c:pt idx="5" formatCode="General">
                  <c:v>2404.181855824083</c:v>
                </c:pt>
              </c:numCache>
            </c:numRef>
          </c:val>
        </c:ser>
        <c:ser>
          <c:idx val="6"/>
          <c:order val="6"/>
          <c:tx>
            <c:strRef>
              <c:f>Sheet1!$A$8</c:f>
              <c:strCache>
                <c:ptCount val="1"/>
                <c:pt idx="0">
                  <c:v>Pembiayaan Sewa (Ijarah)</c:v>
                </c:pt>
              </c:strCache>
            </c:strRef>
          </c:tx>
          <c:spPr>
            <a:solidFill>
              <a:schemeClr val="accent2">
                <a:lumMod val="80000"/>
                <a:lumOff val="20000"/>
              </a:schemeClr>
            </a:solidFill>
            <a:ln>
              <a:noFill/>
            </a:ln>
            <a:effectLst/>
          </c:spPr>
          <c:invertIfNegative val="0"/>
          <c:cat>
            <c:strRef>
              <c:f>Sheet1!$B$1:$I$1</c:f>
              <c:strCache>
                <c:ptCount val="6"/>
                <c:pt idx="0">
                  <c:v>2016</c:v>
                </c:pt>
                <c:pt idx="1">
                  <c:v>2017</c:v>
                </c:pt>
                <c:pt idx="2">
                  <c:v>2018</c:v>
                </c:pt>
                <c:pt idx="3">
                  <c:v>2019</c:v>
                </c:pt>
                <c:pt idx="4">
                  <c:v>2020</c:v>
                </c:pt>
                <c:pt idx="5">
                  <c:v>2021</c:v>
                </c:pt>
              </c:strCache>
            </c:strRef>
          </c:cat>
          <c:val>
            <c:numRef>
              <c:f>Sheet1!$B$8:$I$8</c:f>
              <c:numCache>
                <c:formatCode>_(* #,##0_);_(* \(#,##0\);_(* "-"??_);_(@_)</c:formatCode>
                <c:ptCount val="6"/>
                <c:pt idx="0">
                  <c:v>9149.6132201990004</c:v>
                </c:pt>
                <c:pt idx="1">
                  <c:v>9230.3953103679996</c:v>
                </c:pt>
                <c:pt idx="2">
                  <c:v>9796.586435776584</c:v>
                </c:pt>
                <c:pt idx="3" formatCode="_(* #\ ##0_);_(* \(#\ ##0\);_(* &quot;-&quot;_);_(@_)">
                  <c:v>9449.824964939</c:v>
                </c:pt>
                <c:pt idx="4" formatCode="_(* #\ ##0_);_(* \(#\ ##0\);_(* &quot;-&quot;_);_(@_)">
                  <c:v>8020.158637562</c:v>
                </c:pt>
                <c:pt idx="5" formatCode="General">
                  <c:v>7223.3840802010845</c:v>
                </c:pt>
              </c:numCache>
            </c:numRef>
          </c:val>
        </c:ser>
        <c:dLbls>
          <c:showLegendKey val="0"/>
          <c:showVal val="0"/>
          <c:showCatName val="0"/>
          <c:showSerName val="0"/>
          <c:showPercent val="0"/>
          <c:showBubbleSize val="0"/>
        </c:dLbls>
        <c:gapWidth val="199"/>
        <c:axId val="288519624"/>
        <c:axId val="288520800"/>
        <c:extLst>
          <c:ext xmlns:c15="http://schemas.microsoft.com/office/drawing/2012/chart" uri="{02D57815-91ED-43cb-92C2-25804820EDAC}">
            <c15:filteredBarSeries>
              <c15:ser>
                <c:idx val="0"/>
                <c:order val="0"/>
                <c:tx>
                  <c:strRef>
                    <c:extLst>
                      <c:ext uri="{02D57815-91ED-43cb-92C2-25804820EDAC}">
                        <c15:formulaRef>
                          <c15:sqref>Sheet1!$A$2</c15:sqref>
                        </c15:formulaRef>
                      </c:ext>
                    </c:extLst>
                    <c:strCache>
                      <c:ptCount val="1"/>
                    </c:strCache>
                  </c:strRef>
                </c:tx>
                <c:spPr>
                  <a:solidFill>
                    <a:schemeClr val="accent2"/>
                  </a:solidFill>
                  <a:ln>
                    <a:noFill/>
                  </a:ln>
                  <a:effectLst/>
                </c:spPr>
                <c:invertIfNegative val="0"/>
                <c:cat>
                  <c:strRef>
                    <c:extLst>
                      <c:ext uri="{02D57815-91ED-43cb-92C2-25804820EDAC}">
                        <c15:formulaRef>
                          <c15:sqref>Sheet1!$B$1:$I$1</c15:sqref>
                        </c15:formulaRef>
                      </c:ext>
                    </c:extLst>
                    <c:strCache>
                      <c:ptCount val="6"/>
                      <c:pt idx="0">
                        <c:v>2016</c:v>
                      </c:pt>
                      <c:pt idx="1">
                        <c:v>2017</c:v>
                      </c:pt>
                      <c:pt idx="2">
                        <c:v>2018</c:v>
                      </c:pt>
                      <c:pt idx="3">
                        <c:v>2019</c:v>
                      </c:pt>
                      <c:pt idx="4">
                        <c:v>2020</c:v>
                      </c:pt>
                      <c:pt idx="5">
                        <c:v>2021</c:v>
                      </c:pt>
                    </c:strCache>
                  </c:strRef>
                </c:cat>
                <c:val>
                  <c:numRef>
                    <c:extLst>
                      <c:ext uri="{02D57815-91ED-43cb-92C2-25804820EDAC}">
                        <c15:formulaRef>
                          <c15:sqref>Sheet1!$B$2:$I$2</c15:sqref>
                        </c15:formulaRef>
                      </c:ext>
                    </c:extLst>
                    <c:numCache>
                      <c:formatCode>General</c:formatCode>
                      <c:ptCount val="6"/>
                    </c:numCache>
                  </c:numRef>
                </c:val>
              </c15:ser>
            </c15:filteredBarSeries>
          </c:ext>
        </c:extLst>
      </c:barChart>
      <c:catAx>
        <c:axId val="28851962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id-ID"/>
          </a:p>
        </c:txPr>
        <c:crossAx val="288520800"/>
        <c:crosses val="autoZero"/>
        <c:auto val="1"/>
        <c:lblAlgn val="ctr"/>
        <c:lblOffset val="100"/>
        <c:noMultiLvlLbl val="0"/>
      </c:catAx>
      <c:valAx>
        <c:axId val="288520800"/>
        <c:scaling>
          <c:orientation val="minMax"/>
        </c:scaling>
        <c:delete val="0"/>
        <c:axPos val="l"/>
        <c:majorGridlines>
          <c:spPr>
            <a:ln w="9525">
              <a:solidFill>
                <a:schemeClr val="tx1">
                  <a:lumMod val="15000"/>
                  <a:lumOff val="85000"/>
                </a:schemeClr>
              </a:solidFill>
              <a:round/>
            </a:ln>
            <a:effectLst/>
          </c:spPr>
        </c:majorGridlines>
        <c:minorGridlines>
          <c:spPr>
            <a:ln w="9525">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
                  <a:t>Financing (Billion IDR)</a:t>
                </a:r>
              </a:p>
            </c:rich>
          </c:tx>
          <c:layout>
            <c:manualLayout>
              <c:xMode val="edge"/>
              <c:yMode val="edge"/>
              <c:x val="3.0555555555555555E-2"/>
              <c:y val="0.36730788859725866"/>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id-ID"/>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885196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w="9525">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333BA4F-CD08-4F3B-A748-02D08B7A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27</Pages>
  <Words>27116</Words>
  <Characters>154564</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 rahmayanti</dc:creator>
  <cp:keywords/>
  <dc:description/>
  <cp:lastModifiedBy>Asus</cp:lastModifiedBy>
  <cp:revision>6</cp:revision>
  <dcterms:created xsi:type="dcterms:W3CDTF">2023-03-21T04:17:00Z</dcterms:created>
  <dcterms:modified xsi:type="dcterms:W3CDTF">2023-03-29T08:34:00Z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http://www.zotero.org/styles/chicago-fullnote-bibliography</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(full note)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7bd1926b-e0f7-34bc-87c4-0b4b93077617</vt:lpwstr>
  </property>
</Properties>
</file>