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E4" w:rsidRPr="00D016E4" w:rsidRDefault="00D016E4" w:rsidP="00FF5BE3">
      <w:pPr>
        <w:spacing w:before="120"/>
        <w:ind w:left="873"/>
        <w:jc w:val="center"/>
        <w:rPr>
          <w:rFonts w:ascii="Segoe UI" w:eastAsia="Cambria" w:hAnsi="Segoe UI" w:cs="Segoe UI"/>
          <w:b/>
          <w:sz w:val="24"/>
          <w:szCs w:val="24"/>
        </w:rPr>
      </w:pPr>
      <w:r w:rsidRPr="00D016E4">
        <w:rPr>
          <w:rFonts w:ascii="Segoe UI" w:eastAsia="Cambria" w:hAnsi="Segoe UI" w:cs="Segoe UI"/>
          <w:b/>
          <w:sz w:val="24"/>
          <w:szCs w:val="24"/>
        </w:rPr>
        <w:t>Visiting Interests, Visit Decisions, And The Impact</w:t>
      </w:r>
      <w:r w:rsidR="00585D0B">
        <w:rPr>
          <w:rFonts w:ascii="Segoe UI" w:eastAsia="Cambria" w:hAnsi="Segoe UI" w:cs="Segoe UI"/>
          <w:b/>
          <w:sz w:val="24"/>
          <w:szCs w:val="24"/>
        </w:rPr>
        <w:t xml:space="preserve"> Of Lifestyle, Art Collection,  </w:t>
      </w:r>
      <w:r w:rsidRPr="00D016E4">
        <w:rPr>
          <w:rFonts w:ascii="Segoe UI" w:eastAsia="Cambria" w:hAnsi="Segoe UI" w:cs="Segoe UI"/>
          <w:b/>
          <w:sz w:val="24"/>
          <w:szCs w:val="24"/>
        </w:rPr>
        <w:t>And Hedonic At The National Gallery</w:t>
      </w:r>
    </w:p>
    <w:p w:rsidR="001B1A1B" w:rsidRDefault="001B1A1B" w:rsidP="001B1A1B">
      <w:pPr>
        <w:pStyle w:val="IPENULIS"/>
      </w:pPr>
      <w:bookmarkStart w:id="0" w:name="_GoBack"/>
      <w:bookmarkEnd w:id="0"/>
    </w:p>
    <w:p w:rsidR="005E48E8" w:rsidRDefault="004F10E8" w:rsidP="004F10E8">
      <w:pPr>
        <w:pStyle w:val="IPenket"/>
      </w:pPr>
      <w:r w:rsidRPr="004F10E8">
        <w:rPr>
          <w:vertAlign w:val="superscript"/>
        </w:rPr>
        <w:t>1</w:t>
      </w:r>
      <w:r w:rsidR="00FF5BE3">
        <w:t xml:space="preserve">Faculty of Economics, Universitas ASA Indonesia </w:t>
      </w:r>
      <w:r w:rsidR="001B1A1B">
        <w:t xml:space="preserve"> </w:t>
      </w:r>
    </w:p>
    <w:p w:rsidR="00CF50DC" w:rsidRPr="004F10E8" w:rsidRDefault="008331F9" w:rsidP="008331F9">
      <w:pPr>
        <w:pStyle w:val="StyleIABSSSLatinBoldGray-80"/>
        <w:ind w:left="0"/>
        <w:rPr>
          <w:lang w:val="id-ID"/>
        </w:rPr>
      </w:pPr>
      <w:r>
        <w:rPr>
          <w:lang w:val="id-ID"/>
        </w:rPr>
        <w:t xml:space="preserve">   </w:t>
      </w:r>
      <w:r>
        <w:rPr>
          <w:lang w:val="id-ID"/>
        </w:rPr>
        <w:tab/>
      </w:r>
      <w:r w:rsidR="006129F2" w:rsidRPr="0070534E">
        <w:t>Abstract</w:t>
      </w:r>
      <w:r w:rsidR="00C629E2">
        <w:rPr>
          <w:lang w:val="id-ID"/>
        </w:rPr>
        <w:t xml:space="preserve"> </w:t>
      </w:r>
    </w:p>
    <w:p w:rsidR="008331F9" w:rsidRPr="00943668" w:rsidRDefault="008331F9" w:rsidP="008331F9">
      <w:pPr>
        <w:ind w:left="709"/>
        <w:jc w:val="both"/>
        <w:rPr>
          <w:rFonts w:ascii="Segoe UI" w:hAnsi="Segoe UI" w:cs="Segoe UI"/>
          <w:sz w:val="24"/>
          <w:szCs w:val="24"/>
        </w:rPr>
      </w:pPr>
      <w:r w:rsidRPr="00943668">
        <w:rPr>
          <w:rFonts w:ascii="Segoe UI" w:hAnsi="Segoe UI" w:cs="Segoe UI"/>
          <w:i/>
          <w:iCs/>
          <w:szCs w:val="20"/>
        </w:rPr>
        <w:t>Many local and international tourists attend art exhibitions and events held at the National Gallery. It is interesting to examine the factors that influence tourists' decisions to visit the National Gallery, including lifestyle factors, gallery art collections, and hedonic factors. The sample in this study was 152 visitors to the National Gallery in December using a purposive sampling technique. With the help of smartPLS software, Structural Equation Model is the analytical technique used. The findings show that the hedonic variable affects visiting intentions, visiting decisions, and to revisit intentions. But on the contrary, lifestyle does not affect visiting intentions, visiting decisions, and revisiting intentions. Meanwhile, the art collection influences the intention to visit and the revisiting intention but does not affect the decision to visit. Finally, the intention to visit influences the decision</w:t>
      </w:r>
      <w:r w:rsidRPr="00943668">
        <w:rPr>
          <w:rFonts w:ascii="Segoe UI" w:hAnsi="Segoe UI" w:cs="Segoe UI"/>
          <w:i/>
          <w:iCs/>
          <w:sz w:val="22"/>
        </w:rPr>
        <w:t xml:space="preserve"> to visit, and the decision to visit influences the revisit intention.</w:t>
      </w:r>
    </w:p>
    <w:p w:rsidR="008331F9" w:rsidRDefault="008331F9" w:rsidP="004F10E8">
      <w:pPr>
        <w:pStyle w:val="ITOPKey"/>
        <w:rPr>
          <w:lang w:val="id-ID"/>
        </w:rPr>
      </w:pPr>
    </w:p>
    <w:p w:rsidR="005516D4" w:rsidRPr="008331F9" w:rsidRDefault="006129F2" w:rsidP="004F10E8">
      <w:pPr>
        <w:pStyle w:val="ITOPKey"/>
        <w:rPr>
          <w:rFonts w:ascii="Segoe UI" w:hAnsi="Segoe UI" w:cs="Segoe UI"/>
          <w:i/>
          <w:lang w:val="id-ID"/>
        </w:rPr>
      </w:pPr>
      <w:r w:rsidRPr="00DB1AD2">
        <w:t>Keywords</w:t>
      </w:r>
      <w:r w:rsidR="00AC52D6" w:rsidRPr="00DB1AD2">
        <w:t>:</w:t>
      </w:r>
      <w:r w:rsidR="00AC52D6" w:rsidRPr="00DB3E33">
        <w:t xml:space="preserve"> </w:t>
      </w:r>
      <w:r w:rsidR="0070534E">
        <w:tab/>
      </w:r>
      <w:r w:rsidR="004F10E8">
        <w:rPr>
          <w:rStyle w:val="IKeyWordsChar"/>
          <w:lang w:val="id-ID"/>
        </w:rPr>
        <w:t>Write 3 – 5 keywords, each keyword should be separated by comma (Cambria, 8)</w:t>
      </w:r>
    </w:p>
    <w:p w:rsidR="005516D4" w:rsidRPr="004F10E8" w:rsidRDefault="004F10E8" w:rsidP="007B7C2C">
      <w:pPr>
        <w:pStyle w:val="IAKEY"/>
        <w:rPr>
          <w:i/>
          <w:color w:val="333333"/>
          <w:lang w:val="id-ID"/>
        </w:rPr>
        <w:sectPr w:rsidR="005516D4" w:rsidRPr="004F10E8" w:rsidSect="00FF5BE3">
          <w:headerReference w:type="even" r:id="rId9"/>
          <w:headerReference w:type="default" r:id="rId10"/>
          <w:footerReference w:type="even" r:id="rId11"/>
          <w:footerReference w:type="default" r:id="rId12"/>
          <w:footnotePr>
            <w:numRestart w:val="eachSect"/>
          </w:footnotePr>
          <w:pgSz w:w="9979" w:h="14181" w:code="147"/>
          <w:pgMar w:top="1440" w:right="1440" w:bottom="1440" w:left="1440" w:header="1418" w:footer="1474" w:gutter="0"/>
          <w:cols w:space="720"/>
          <w:docGrid w:linePitch="360"/>
        </w:sectPr>
      </w:pPr>
      <w:r>
        <w:rPr>
          <w:i/>
          <w:color w:val="333333"/>
          <w:lang w:val="id-ID"/>
        </w:rPr>
        <w:t xml:space="preserve"> </w:t>
      </w:r>
    </w:p>
    <w:p w:rsidR="00AC52D6" w:rsidRPr="00181238" w:rsidRDefault="00181238" w:rsidP="00867514">
      <w:pPr>
        <w:pStyle w:val="I-POINT"/>
      </w:pPr>
      <w:r w:rsidRPr="00867514">
        <w:lastRenderedPageBreak/>
        <w:t>Introduction</w:t>
      </w:r>
      <w:r w:rsidR="00AC52D6" w:rsidRPr="00181238">
        <w:t xml:space="preserve"> </w:t>
      </w:r>
    </w:p>
    <w:p w:rsidR="003A60BA" w:rsidRPr="00833547" w:rsidRDefault="003A60BA" w:rsidP="003A60BA">
      <w:pPr>
        <w:ind w:firstLine="709"/>
        <w:jc w:val="both"/>
        <w:rPr>
          <w:rFonts w:ascii="Segoe UI" w:hAnsi="Segoe UI" w:cs="Segoe UI"/>
          <w:sz w:val="24"/>
          <w:szCs w:val="24"/>
          <w:lang w:val="en-US"/>
        </w:rPr>
      </w:pPr>
      <w:r w:rsidRPr="00833547">
        <w:rPr>
          <w:rFonts w:ascii="Segoe UI" w:hAnsi="Segoe UI" w:cs="Segoe UI"/>
          <w:sz w:val="24"/>
          <w:szCs w:val="24"/>
        </w:rPr>
        <w:t xml:space="preserve">Tourism-related activities can be seen to pass time while pursuing leisurely pursuits, unwinding, and traveling to a place where tourists can take use of the tour's services. A tourist's choice to visit has been made after carefully weighing all the factors that should be taken into account before engaging in an activity or paying a visit to a tourist attraction </w:t>
      </w:r>
      <w:r w:rsidRPr="00833547">
        <w:rPr>
          <w:rFonts w:ascii="Segoe UI" w:hAnsi="Segoe UI" w:cs="Segoe UI"/>
          <w:sz w:val="24"/>
          <w:szCs w:val="24"/>
          <w:lang w:val="en-US"/>
        </w:rPr>
        <w:fldChar w:fldCharType="begin" w:fldLock="1"/>
      </w:r>
      <w:r w:rsidRPr="00833547">
        <w:rPr>
          <w:rFonts w:ascii="Segoe UI" w:hAnsi="Segoe UI" w:cs="Segoe UI"/>
          <w:sz w:val="24"/>
          <w:szCs w:val="24"/>
        </w:rPr>
        <w:instrText>ADDIN CSL_CITATION {"citationItems":[{"id":"ITEM-1","itemData":{"DOI":"10.46772/jecma.v1i02.355","abstract":"Kebutuhan wisata merupakan kebutuhan penting bagi masyarakat yang layak untuk dipenuhi.  Wisata yang terlaris dan menjadi favorit adalah wisata alam yang memiliki ketertarikan tersendiri oleh masyarakat. Salah satu wisata alam yang ada di DI Yogyakarta khususnya di Kabupaten Gunungkidul adalah Gunung Api Purba Nglanggeran. Penelitian ini bertujuan untuk mengetahui pengaruh e-Wom dan risk perception terhadap keputusan berkunjung wisatawan di Gunung Api Purba Nglanggeran. Populasi dalam penelitian ini adalah wisatawan yang berkunjung ke tempat wisata di Kabupaten Gunungkidul sedangkan sampel dalam penelitian ini adalah wisatawan yang berkunjung di Gunung Api Purba Nglanggeran. Data yang digunakan dalam penelitian ini adalah data primer yang diambil secara langsung dengan mewawancarai wisastawan dan data sekunder yang berasal dari jurnal, buku dan sumber lain yang masih relevan dengan penelitian ini. Alat analisis yang digunakan dalam penelitian ini adalah analisis regresi linear berganda. Berdasarkan hasil penelitian dapat diketahui bahwa secara bersama-sama variabel e-WOM dan risk perception berpengaruh terhadap keputusan berkunjung wisatawan Gunung Api Purba Nglanggeran. Akan tetapi secara parsial hanya variabel e-WOM berpengaruh terhadap keputusan berkunjung wisatawan Gunung Api Purba Nglanggeran.\r  \r  ","author":[{"dropping-particle":"","family":"Solichin","given":"Aditya","non-dropping-particle":"","parse-names":false,"suffix":""},{"dropping-particle":"","family":"Resky Amalia","given":"Dhea Ayu","non-dropping-particle":"","parse-names":false,"suffix":""},{"dropping-particle":"","family":"Katniaty","given":"Lily","non-dropping-particle":"","parse-names":false,"suffix":""},{"dropping-particle":"","family":"Wisudawati","given":"Tri","non-dropping-particle":"","parse-names":false,"suffix":""},{"dropping-particle":"","family":"Sulistyowati","given":"Ecclisia","non-dropping-particle":"","parse-names":false,"suffix":""},{"dropping-particle":"","family":"Saputro","given":"Wahyu Adhi","non-dropping-particle":"","parse-names":false,"suffix":""}],"container-title":"Journal of Economic and Management (JECMA)","id":"ITEM-1","issue":"02","issued":{"date-parts":[["2021"]]},"page":"2-9","title":"Pengaruh E-Wom Dan Risk Perception Terhadap Keputusan Berkunjung Wisatawan","type":"article-journal","volume":"1"},"uris":["http://www.mendeley.com/documents/?uuid=d5b7a507-a2f7-4c15-9162-426a11e9264f","http://www.mendeley.com/documents/?uuid=d458552a-601d-4b13-acbe-b3b592fc48bc"]}],"mendeley":{"formattedCitation":"(Solichin et al., 2021)","plainTextFormattedCitation":"(Solichin et al., 2021)","previouslyFormattedCitation":"(Solichin et al., 2021)"},"properties":{"noteIndex":0},"schema":"https://github.com/citation-style-language/schema/raw/master/csl-citation.json"}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rPr>
        <w:t>(Solichin et al., 2021)</w:t>
      </w:r>
      <w:r w:rsidRPr="00833547">
        <w:rPr>
          <w:rFonts w:ascii="Segoe UI" w:hAnsi="Segoe UI" w:cs="Segoe UI"/>
          <w:sz w:val="24"/>
          <w:szCs w:val="24"/>
          <w:lang w:val="en-US"/>
        </w:rPr>
        <w:fldChar w:fldCharType="end"/>
      </w:r>
      <w:r w:rsidRPr="00833547">
        <w:rPr>
          <w:rFonts w:ascii="Segoe UI" w:hAnsi="Segoe UI" w:cs="Segoe UI"/>
          <w:sz w:val="24"/>
          <w:szCs w:val="24"/>
          <w:lang w:val="en-US"/>
        </w:rPr>
        <w:t xml:space="preserve">. </w:t>
      </w:r>
      <w:r w:rsidRPr="00833547">
        <w:rPr>
          <w:rFonts w:ascii="Segoe UI" w:hAnsi="Segoe UI" w:cs="Segoe UI"/>
          <w:bCs/>
          <w:sz w:val="24"/>
          <w:szCs w:val="24"/>
        </w:rPr>
        <w:t xml:space="preserve">The volume of visitors will indicate whether a place is well managed. </w:t>
      </w:r>
      <w:r w:rsidRPr="00833547">
        <w:rPr>
          <w:rFonts w:ascii="Segoe UI" w:hAnsi="Segoe UI" w:cs="Segoe UI"/>
          <w:sz w:val="24"/>
          <w:szCs w:val="24"/>
        </w:rPr>
        <w:t>Tourist behavior characteristics are strongly tied to conduct and pertain to individual perceptions while deciding to visit</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{"citationItems":[{"id":"ITEM-1","itemData":{"DOI":"10.2307/j.ctvn5tzff.11","abstract":"Building on the theory of planned behaviour (TPB), we develop a new model of purposive behaviour which suggests that desires are the proximal causes of intentions, and the traditional antecedents in the TPB work through desires. In addition, perceived consequencesof goal achievement and goal failure aremodelled as anticipated emotions, which also function as determinants of desires. The new model is tested in two studies : an investigation of bodyweight regulation by 108 Italians at the University of Rome and an investigation of eåort expended in studying by 122 students at the University of Rome. Frequency and recency of past behaviour are controlled for in tests of hypotheses. The ®ndings show that desires fully mediated the eåects of attitudes, subjective norms, perceived behavioural control and anticipated emotions on intentions. Signi®cantly greater amounts of variance are explained in intentions and behaviour by the new model in comparison to the TPB and variants of the TPB that include either anticipated emotions and}or past behaviour.","author":[{"dropping-particle":"","family":"Dussel","given":"Enrique","non-dropping-particle":"","parse-names":false,"suffix":""}],"container-title":"El vuelo del fénix","id":"ITEM-1","issued":{"date-parts":[["2019"]]},"page":"211-226","title":"Fortalecimiento Del Estado Desde El Horizonte Del Postulado De La Disolución Del Estado","type":"article-journal"},"uris":["http://www.mendeley.com/documents/?uuid=1e138fa0-abaf-402a-b12a-ab8652050115","http://www.mendeley.com/documents/?uuid=0762fd2b-ac80-4530-a481-3273740827ec"]},{"id":"ITEM-2","itemData":{"DOI":"10.1016/j.jhtm.2019.11.002","ISSN":"18395260","abstract":"This study attempted to merge two theories, which included the norm activation model (NAM) and the theory of planned behavior (TPB), in order to explain eco-friendly behavioral intention formation in the context of drone food delivery services. In addition, this study deepened the theoretical framework by considering the moderating role of product knowledge about the pro-environmental role of the drone-based food delivery services. Sixteen hypotheses were tested using a total of 401 samples collected in Korea. The data analysis results indicated that all hypotheses within the model that merged the NAM and the TPB were statistically supported. Furthermore, product knowledge played a moderating role in the relationship between (1) ascribed responsibility and personal norm, (2) attitudes and behavioral intentions, and (3) subjective norm and personal norm.","author":[{"dropping-particle":"","family":"Kim","given":"Jinkyung Jenny","non-dropping-particle":"","parse-names":false,"suffix":""},{"dropping-particle":"","family":"Hwang","given":"Jinsoo","non-dropping-particle":"","parse-names":false,"suffix":""}],"container-title":"Journal of Hospitality and Tourism Management","id":"ITEM-2","issue":"November 2019","issued":{"date-parts":[["2020"]]},"page":"1-11","publisher":"Elsevier Ltd","title":"Merging the norm activation model and the theory of planned behavior in the context of drone food delivery services: Does the level of product knowledge really matter?","type":"article-journal","volume":"42"},"uris":["http://www.mendeley.com/documents/?uuid=ec0a58a6-1388-4839-875c-380a98ab7aec","http://www.mendeley.com/documents/?uuid=1c0351e0-d7af-45bc-9ae3-5a2141ff0137"]}],"mendeley":{"formattedCitation":"(Dussel, 2019; Kim &amp; Hwang, 2020)","plainTextFormattedCitation":"(Dussel, 2019; Kim &amp; Hwang, 2020)","previouslyFormattedCitation":"(Dussel, 2019; Kim &amp; Hwang, 2020)"},"properties":{"noteIndex":0},"schema":"https://github.com/citation-style-language/schema/raw/master/csl-citation.json"}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(Dussel, 2019; Kim &amp; Hwang, 2020)</w:t>
      </w:r>
      <w:r w:rsidRPr="00833547">
        <w:rPr>
          <w:rFonts w:ascii="Segoe UI" w:hAnsi="Segoe UI" w:cs="Segoe UI"/>
          <w:sz w:val="24"/>
          <w:szCs w:val="24"/>
        </w:rPr>
        <w:fldChar w:fldCharType="end"/>
      </w:r>
      <w:r w:rsidRPr="00833547">
        <w:rPr>
          <w:rFonts w:ascii="Segoe UI" w:hAnsi="Segoe UI" w:cs="Segoe UI"/>
          <w:sz w:val="24"/>
          <w:szCs w:val="24"/>
          <w:lang w:val="en-US"/>
        </w:rPr>
        <w:t xml:space="preserve">. </w:t>
      </w:r>
    </w:p>
    <w:p w:rsidR="00585D0B" w:rsidRPr="00833547" w:rsidRDefault="003A60BA" w:rsidP="00585D0B">
      <w:pPr>
        <w:ind w:firstLine="709"/>
        <w:jc w:val="both"/>
        <w:rPr>
          <w:rFonts w:ascii="Segoe UI" w:hAnsi="Segoe UI" w:cs="Segoe UI"/>
          <w:sz w:val="24"/>
          <w:szCs w:val="24"/>
        </w:rPr>
      </w:pPr>
      <w:r w:rsidRPr="00833547">
        <w:rPr>
          <w:rFonts w:ascii="Segoe UI" w:hAnsi="Segoe UI" w:cs="Segoe UI"/>
          <w:bCs/>
          <w:sz w:val="24"/>
          <w:szCs w:val="24"/>
        </w:rPr>
        <w:t>The choice of one of the other locations that visitors would choose may be used to characterize the decision to visit, which has the same meaning as the purchasing decision</w:t>
      </w:r>
      <w:r w:rsidRPr="00833547">
        <w:rPr>
          <w:rFonts w:ascii="Segoe UI" w:hAnsi="Segoe UI" w:cs="Segoe UI"/>
          <w:b/>
          <w:sz w:val="24"/>
          <w:szCs w:val="24"/>
        </w:rPr>
        <w:t>.</w:t>
      </w:r>
      <w:r w:rsidRPr="00833547">
        <w:rPr>
          <w:rFonts w:ascii="Segoe UI" w:hAnsi="Segoe UI" w:cs="Segoe UI"/>
          <w:sz w:val="24"/>
          <w:szCs w:val="24"/>
        </w:rPr>
        <w:t xml:space="preserve"> Tourists will base their decision to go on their interest in the destination initially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{"citationItems":[{"id":"ITEM-1","itemData":{"DOI":"10.5539/ass.v13n11p157","ISSN":"1911-2017","abstract":"This study aims to examine how Jordanian passenger’s lifestyle effects their buying decisions of online e-tickets by utilizing the AIO theory (Activities, Interests, and Opinions). A convenience sample of 473 passengers from the Jordanian airport was chosen as the population in order to verify the hypotheses and research framework. The results of the study show that the lifestyle of Jordanian passengers significantly influences their purchase of e-tickets. The analysis of the results indicates that each of the lifestyle dimensions: Activities, Interests, and Opinions, had a significant positive effect on the purchasing decision of the e-ticket Service. ","author":[{"dropping-particle":"","family":"Al-Dmour","given":"Rand","non-dropping-particle":"","parse-names":false,"suffix":""},{"dropping-particle":"","family":"Hammdan","given":"Farah","non-dropping-particle":"","parse-names":false,"suffix":""},{"dropping-particle":"","family":"Al-Dmour","given":"Hani","non-dropping-particle":"","parse-names":false,"suffix":""},{"dropping-particle":"","family":"Alrowwad","given":"Ala'aldin","non-dropping-particle":"","parse-names":false,"suffix":""},{"dropping-particle":"","family":"Khwaldeh","given":"Sufian M","non-dropping-particle":"","parse-names":false,"suffix":""}],"container-title":"Asian Social Science","id":"ITEM-1","issue":"11","issued":{"date-parts":[["2017"]]},"page":"157","title":"The Effect of Lifestyle on Online Purchasing Decision for Electronic Services: The Jordanian Flying E-Tickets Case","type":"article-journal","volume":"13"},"uris":["http://www.mendeley.com/documents/?uuid=0c8d8c84-6914-4f1b-9b85-2957fb830715","http://www.mendeley.com/documents/?uuid=97bf2b38-e0e3-4d2e-926f-e8f0a644f4dc"]}],"mendeley":{"formattedCitation":"(Al-Dmour et al., 2017)","plainTextFormattedCitation":"(Al-Dmour et al., 2017)","previouslyFormattedCitation":"(Al-Dmour et al., 2017)"},"properties":{"noteIndex":0},"schema":"https://github.com/citation-style-language/schema/raw/master/csl-citation.json"}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(Al-Dmour et al., 2017)</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w:t>
      </w:r>
      <w:r w:rsidRPr="00833547">
        <w:rPr>
          <w:rFonts w:ascii="Segoe UI" w:hAnsi="Segoe UI" w:cs="Segoe UI"/>
          <w:bCs/>
          <w:sz w:val="24"/>
          <w:szCs w:val="24"/>
        </w:rPr>
        <w:t>The intention of a person to visit a tourist site soon is known as interest in visiting</w:t>
      </w:r>
      <w:r w:rsidRPr="00833547">
        <w:rPr>
          <w:rFonts w:ascii="Segoe UI" w:hAnsi="Segoe UI" w:cs="Segoe UI"/>
          <w:bCs/>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{"citationItems":[{"id":"ITEM-1","itemData":{"DOI":"10.1080/1743873X.2015.1102272","ISSN":"17476631","abstract":"A destination's image and on-site recreation experience can be regarded as precedents of the authenticity perceived by heritage tourists. Historic images attract tourists to experience the authenticity of a heritage destination. This study examines the linear relationships among destination images, recreation experience, and the perceived authenticity experienced by tourists at the Shengxing Heritage Recreation Area in central Taiwan. In total, 536 usable questionnaires were collected. Analytical results indicate that the cognitive and affective images of a destination directly and significantly affect the recreation experience of tourists at a heritage recreation area. Additionally, recreation experience directly and significantly affects perceived authenticity. Moreover, recreation experience has a significant mediating effect on the relationship between cognitive image and perceived authenticity. We conclude that when tourists visit a heritage-based tourism destination, such as the destination under consideration, these tourists gain tourism image and recreation experiences, which strengthens their perceived authenticity of heritage tourism; as a result, these tourists are more likely to contribute to the development of heritage tourism. Applying this theoretical framework to research on heritage tourism further extends our understanding of the behavioural model of heritage tourists. Finally, this study provides a valuable reference for managers striving to develop heritage tourism.","author":[{"dropping-particle":"","family":"Lee","given":"Tsung Hung","non-dropping-particle":"","parse-names":false,"suffix":""},{"dropping-particle":"","family":"Chang","given":"Pei Shiang","non-dropping-particle":"","parse-names":false,"suffix":""},{"dropping-particle":"","family":"Luo","given":"Ya Wun","non-dropping-particle":"","parse-names":false,"suffix":""}],"container-title":"Journal of Heritage Tourism","id":"ITEM-1","issue":"4","issued":{"date-parts":[["2016"]]},"page":"349-363","title":"Elucidating the relationships among destination images, recreation experience, and authenticity of the Shengxing Heritage Recreation Area in Taiwan","type":"article-journal","volume":"11"},"uris":["http://www.mendeley.com/documents/?uuid=59d14b71-12e2-452b-a966-85c6792a3876","http://www.mendeley.com/documents/?uuid=9d114e4d-9fc2-4f40-ac39-8813e2ba60e6"]},{"id":"ITEM-2","itemData":{"DOI":"10.1080/15980634.2009.11434615","ISSN":"1598-0634","abstract":"Real-time and realistic rendering of forest is an important and a difficult work in computer graphics and digital forestry. An image based real-time and realistic forest rendering software is developed in this paper. Three orthogonal billboards are used to represent the geometry and material of a tree, so that the 3D perception is enhanced and weak parallax of usual images based approaches is avoided. Shadows of all trees on the plat ground are generated through the stencil buffer, shadow projection and a mixture of the shadow with grass texture. Different billboards are chosen on the viewing direction and the lighting direction, so that the effect of object torsion due to poor image direction is avoided. Forest growth, forest rendering in different lighting conditions, navigation inside a forest, and flying over a forest are all simulated.","author":[{"dropping-particle":"","family":"Bilei","given":"Dai","non-dropping-particle":"","parse-names":false,"suffix":""},{"dropping-particle":"","family":"Kim","given":"Chulwon","non-dropping-particle":"","parse-names":false,"suffix":""}],"id":"ITEM-2","issue":"3","issued":{"date-parts":[["2009"]]},"page":"1-24","title":"Identifying Impact of Olympic Host City’s Image on Intention to Visit","type":"article-journal","volume":"9"},"uris":["http://www.mendeley.com/documents/?uuid=f23dad43-fac9-4f37-acda-c47869ca83f7","http://www.mendeley.com/documents/?uuid=1d062730-65f3-482c-bbef-0c99befbde34"]},{"id":"ITEM-3","itemData":{"DOI":"10.1016/j.heliyon.2022.e10724","ISSN":"24058440","abstract":"CMC Tiga Warna is one of the coastal area management for conservation and ecotourism in southern Malang, Indonesia. Despite fewer tourist visits, the COVID-19 pandemic did not dissuade locals from managing and protecting ecotourism in the coastal area. This study aims to: (a) to describe coastal ecosystem management; and (b) to analyze coastal ecotourist visit intention related to tourism knowledge, perceived health risk, and risk attitude in the post-COVID-19 era as a part of developing strategy for coastal ecosystem management in the study area from the perspective of ecotourists and destination management. CMC Tiga Warna management, community group supervisors, the local community, and a variety of experts were interviewed in order to gather data for the current strategy. Coastal ecotourist visit intention data from domestic ecotourists was gathered via online and offline surveys. Analyzing the visit intention data with Warp-PLS. Using the visit intention model and interview data, the coastline management strategy was described. This study found that the coastal environment management plan constantly involved ecotourists and locals. Tourism knowledge and risk attitude are positively related to the visit intention, however perceived health risk is negatively related to it. The significant positive relationship between tourism knowledge and ecotourist visit intention is mediated by perceived health risk and risk attitude. Development of the coastal ecosystem management plan could be supported by boosting visit intention, ecotourism visits, or economic incentive as a motive for sustaining the conservation program's consistency, and ecological and social rewards in a sustainable manner. This study added to the Theory of Reasoned Action by adding two additional factors, tourist knowledge and perceived health risk, in addition to the attitude to predict the visit intention. The ecotourism manager should provide varied tourist information and knowledge as needed, reduce COVID-19 exposure risk at tourist destinations, and increase risk attitude.","author":[{"dropping-particle":"","family":"Abidin","given":"Zainal","non-dropping-particle":"","parse-names":false,"suffix":""},{"dropping-particle":"","family":"Handayani","given":"Wahyu","non-dropping-particle":"","parse-names":false,"suffix":""},{"dropping-particle":"","family":"Zaky","given":"Emeraldo A.","non-dropping-particle":"","parse-names":false,"suffix":""},{"dropping-particle":"","family":"Faturrahman","given":"Achmad D.","non-dropping-particle":"","parse-names":false,"suffix":""}],"container-title":"Heliyon","id":"ITEM-3","issue":"September","issued":{"date-parts":[["2022"]]},"page":"e10724","publisher":"The Author(s)","title":"Perceived risk and attitude's mediating role between tourism knowledge and visit intention during the COVID-19 pandemic: implementation for coastal-ecotourism management","type":"article-journal","volume":"8"},"uris":["http://www.mendeley.com/documents/?uuid=21d142e9-8447-4307-9f7c-a8650711bc7a","http://www.mendeley.com/documents/?uuid=8e293fba-edbf-41fd-b9c2-ca38c7d66653"]}],"mendeley":{"formattedCitation":"(Abidin et al., 2022; Bilei &amp; Kim, 2009; Lee et al., 2016)","plainTextFormattedCitation":"(Abidin et al., 2022; Bilei &amp; Kim, 2009; Lee et al., 2016)","previouslyFormattedCitation":"(Abidin et al., 2022; Bilei &amp; Kim, 2009; Lee et al., 2016)"},"properties":{"noteIndex":0},"schema":"https://github.com/citation-style-language/schema/raw/master/csl-citation.json"}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(Abidin et al., 2022; Bilei &amp; Kim, 2009; Lee et al., 2016)</w:t>
      </w:r>
      <w:r w:rsidRPr="00833547">
        <w:rPr>
          <w:rFonts w:ascii="Segoe UI" w:hAnsi="Segoe UI" w:cs="Segoe UI"/>
          <w:sz w:val="24"/>
          <w:szCs w:val="24"/>
        </w:rPr>
        <w:fldChar w:fldCharType="end"/>
      </w:r>
      <w:r w:rsidRPr="00833547">
        <w:rPr>
          <w:rFonts w:ascii="Segoe UI" w:hAnsi="Segoe UI" w:cs="Segoe UI"/>
          <w:sz w:val="24"/>
          <w:szCs w:val="24"/>
        </w:rPr>
        <w:t xml:space="preserve">.  Purchase intention is a dependent variable that is influenced by a variety of internal and external variables, including suggestions, values, expected outcomes, and emotional linkages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{"citationItems":[{"id":"ITEM-1","itemData":{"abstract":"The purpose of this study is to identify the relationship between service preferences (SERVPERF) and purchase intention in online businesses. The methodology or approach of this study is to identify five distinctive research streams in service preference quality. An empirical analysis is then carried out in which the SERVPERF scale is adapted to the study of service preference in the online business industry. The study then examines the relationship between service preference and purchase intention. The originality of the study provides a useful guide to research into service quality by identifying five distinctive streams of research on the field. The study also contributes from a methodological perspective by offering a measurement scale for service preference in the online business industry. Finally, the study contributes to studies of perceived service quality by providing an aggregated ordered logic model, and by confirming the link between service quality and behavioral intention in an online business context.","author":[{"dropping-particle":"","family":"Bakar","given":"Norzehan Abu","non-dropping-particle":"","parse-names":false,"suffix":""},{"dropping-particle":"","family":"Khan","given":"Noor Rira Mohamad","non-dropping-particle":"","parse-names":false,"suffix":""},{"dropping-particle":"","family":"Zahirudin","given":"Zubaidah","non-dropping-particle":"","parse-names":false,"suffix":""},{"dropping-particle":"","family":"Yusof","given":"Jamaliah Mohd","non-dropping-particle":"","parse-names":false,"suffix":""},{"dropping-particle":"","family":"Mohamed","given":"Rozita Naina","non-dropping-particle":"","parse-names":false,"suffix":""},{"dropping-particle":"","family":"Jamaludin","given":"Nor Fauziah","non-dropping-particle":"","parse-names":false,"suffix":""}],"container-title":"Journal of International Business and Management","id":"ITEM-1","issue":"3","issued":{"date-parts":[["2018"]]},"page":"1-14","title":"E-Commerce : Customer Purchase Intention and its Service Performance ( SERVPERF ) on Online Businesses in Malaysia","type":"article-journal","volume":"1"},"uris":["http://www.mendeley.com/documents/?uuid=cb4b7a65-89eb-4f6a-af8b-f86638735867","http://www.mendeley.com/documents/?uuid=3fc31b60-5bf2-466a-a98b-d8682ec4a74e"]}],"mendeley":{"formattedCitation":"(Bakar et al., 2018)","plainTextFormattedCitation":"(Bakar et al., 2018)","previouslyFormattedCitation":"(Bakar et al., 2018)"},"properties":{"noteIndex":0},"schema":"https://github.com/citation-style-language/schema/raw/master/csl-citation.json"}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(Bakar et al., 2018)</w:t>
      </w:r>
      <w:r w:rsidRPr="00833547">
        <w:rPr>
          <w:rFonts w:ascii="Segoe UI" w:hAnsi="Segoe UI" w:cs="Segoe UI"/>
          <w:sz w:val="24"/>
          <w:szCs w:val="24"/>
        </w:rPr>
        <w:fldChar w:fldCharType="end"/>
      </w:r>
      <w:r w:rsidRPr="00833547">
        <w:rPr>
          <w:rFonts w:ascii="Segoe UI" w:hAnsi="Segoe UI" w:cs="Segoe UI"/>
          <w:sz w:val="24"/>
          <w:szCs w:val="24"/>
        </w:rPr>
        <w:t>.</w:t>
      </w:r>
    </w:p>
    <w:p w:rsidR="00585D0B" w:rsidRPr="00833547" w:rsidRDefault="00585D0B" w:rsidP="00585D0B">
      <w:pPr>
        <w:ind w:firstLine="720"/>
        <w:jc w:val="both"/>
        <w:rPr>
          <w:rFonts w:ascii="Segoe UI" w:hAnsi="Segoe UI" w:cs="Segoe UI"/>
          <w:sz w:val="24"/>
          <w:szCs w:val="24"/>
        </w:rPr>
      </w:pPr>
      <w:r w:rsidRPr="00833547">
        <w:rPr>
          <w:rFonts w:ascii="Segoe UI" w:hAnsi="Segoe UI" w:cs="Segoe UI"/>
          <w:sz w:val="24"/>
          <w:szCs w:val="24"/>
          <w:lang w:val="en-US"/>
        </w:rPr>
        <w:t>The choice of a destination to visit is the result of several processes</w:t>
      </w:r>
      <w:r w:rsidRPr="00833547">
        <w:rPr>
          <w:rFonts w:ascii="Segoe UI" w:hAnsi="Segoe UI" w:cs="Segoe UI"/>
          <w:sz w:val="24"/>
          <w:szCs w:val="24"/>
        </w:rPr>
        <w:t xml:space="preserve"> </w:t>
      </w:r>
      <w:r w:rsidRPr="00833547">
        <w:rPr>
          <w:rFonts w:ascii="Segoe UI" w:hAnsi="Segoe UI" w:cs="Segoe UI"/>
          <w:sz w:val="24"/>
          <w:szCs w:val="24"/>
          <w:lang w:val="en-US"/>
        </w:rPr>
        <w:t xml:space="preserve">carried out by individuals or groups of tourists beginning with the evaluation stage, where tourists will have a variety of destinations to travel to and then compare until the tourists decide and the destination to be chosen has unquestionably more allure. contrasting with unpicked places </w:t>
      </w:r>
      <w:r w:rsidRPr="00833547">
        <w:rPr>
          <w:rFonts w:ascii="Segoe UI" w:hAnsi="Segoe UI" w:cs="Segoe UI"/>
          <w:sz w:val="24"/>
          <w:szCs w:val="24"/>
          <w:lang w:val="en-US"/>
        </w:rPr>
        <w:fldChar w:fldCharType="begin" w:fldLock="1"/>
      </w:r>
      <w:r w:rsidRPr="00833547">
        <w:rPr>
          <w:rFonts w:ascii="Segoe UI" w:hAnsi="Segoe UI" w:cs="Segoe UI"/>
          <w:sz w:val="24"/>
          <w:szCs w:val="24"/>
        </w:rPr>
        <w:instrText>ADDIN CSL_CITATION {"citationItems":[{"id":"ITEM-1","itemData":{"author":[{"dropping-particle":"","family":"Sudigdo","given":"Agus","non-dropping-particle":"","parse-names":false,"suffix":""},{"dropping-particle":"","family":"Khalifa","given":"Gamal S A","non-dropping-particle":"","parse-names":false,"suffix":""},{"dropping-particle":"","family":"Abuelhassan","given":"Abuelhassan E","non-dropping-particle":"","parse-names":false,"suffix":""}],"id":"ITEM-1","issue":"January","issued":{"date-parts":[["2019"]]},"page":"59-65","title":"IJRTBT DRIVING ISLAMIC ATTRIBUTES , DESTINATION SECURITY GUARANTEE &amp; DESTINATION IMAGE TO PREDICT TOURISTS '","type":"article-journal","volume":"3"},"uris":["http://www.mendeley.com/documents/?uuid=32654279-f4b1-49ce-a18b-78ddce71b836","http://www.mendeley.com/documents/?uuid=b828d4dd-3726-4fb4-94f7-21b3a5e7c0d9"]},{"id":"ITEM-2","itemData":{"DOI":"10.1016/j.procs.2021.09.009","ISSN":"18770509","abstract":"The article discusses the issues of the purchasing decisions of travellers in passenger transport. Its purpose is to examine whether the age of travellers determines their purchasing decisions. The study was carried out with the CAWI method on a representative sample of n=1012 of adult inhabitants of Poland in the age bracket of 25 through 60. The correlation of the stated theses and research questions with the age of the respondents showed that the older a (professionally active) traveller is, the higher his/her tendency is to resign from a private car and use efficiently working public transport, he/she sees the advantages of faster travel with rail transport in regional carriages than in private transport and compares the costs of travel with alternative means of transport over long distances. The results of qualitative studies can be useful for influencing the purchasing decisions of passengers according to the long-term transport policy of the European Union and Poland, involving sustainable development of transport and the operators themselves who compete for the passenger.","author":[{"dropping-particle":"","family":"Rosa","given":"Grazyna","non-dropping-particle":"","parse-names":false,"suffix":""}],"container-title":"Procedia Computer Science","id":"ITEM-2","issued":{"date-parts":[["2021"]]},"page":"2406-2412","publisher":"Elsevier B.V.","title":"Purchasing decisions of travellers in Poland in the context of their age","type":"article-journal","volume":"192"},"uris":["http://www.mendeley.com/documents/?uuid=dd4c34be-72e8-4d77-9bf4-b744276a3648","http://www.mendeley.com/documents/?uuid=aaae6ad8-6b87-4c2f-809f-a1f019849d18"]},{"id":"ITEM-3","itemData":{"author":[{"dropping-particle":"","family":"Budiman","given":"Arief","non-dropping-particle":"","parse-names":false,"suffix":""},{"dropping-particle":"","family":"Sultan","given":"H Mokh Adib","non-dropping-particle":"","parse-names":false,"suffix":""},{"dropping-particle":"","family":"Yuliawati","given":"Ayu Krishna","non-dropping-particle":"","parse-names":false,"suffix":""}],"id":"ITEM-3","issued":{"date-parts":[["2016"]]},"page":"493-497","title":"Social Media Marketing : Visitors Decision to Green Destination","type":"article-journal","volume":"15"},"uris":["http://www.mendeley.com/documents/?uuid=a39107a3-dc53-4b44-8c4c-1b6bf6441c7f","http://www.mendeley.com/documents/?uuid=53bbdfa3-d04b-47cb-bbee-666db1f94cf6"]}],"mendeley":{"formattedCitation":"(Budiman et al., 2016; Rosa, 2021; Sudigdo et al., 2019)","plainTextFormattedCitation":"(Budiman et al., 2016; Rosa, 2021; Sudigdo et al., 2019)","previouslyFormattedCitation":"(Budiman et al., 2016; Rosa, 2021; Sudigdo et al., 2019)"},"properties":{"noteIndex":0},"schema":"https://github.com/citation-style-language/schema/raw/master/csl-citation.json"}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lang w:val="en-US"/>
        </w:rPr>
        <w:t>(Budiman et al., 2016; Rosa, 2021; Sudigdo et al., 2019)</w:t>
      </w:r>
      <w:r w:rsidRPr="00833547">
        <w:rPr>
          <w:rFonts w:ascii="Segoe UI" w:hAnsi="Segoe UI" w:cs="Segoe UI"/>
          <w:sz w:val="24"/>
          <w:szCs w:val="24"/>
          <w:lang w:val="en-US"/>
        </w:rPr>
        <w:fldChar w:fldCharType="end"/>
      </w:r>
      <w:r w:rsidRPr="00833547">
        <w:rPr>
          <w:rFonts w:ascii="Segoe UI" w:hAnsi="Segoe UI" w:cs="Segoe UI"/>
          <w:sz w:val="24"/>
          <w:szCs w:val="24"/>
        </w:rPr>
        <w:t xml:space="preserve">. </w:t>
      </w:r>
      <w:r w:rsidRPr="00833547">
        <w:rPr>
          <w:rFonts w:ascii="Segoe UI" w:hAnsi="Segoe UI" w:cs="Segoe UI"/>
          <w:sz w:val="24"/>
          <w:szCs w:val="24"/>
          <w:lang w:val="en-US"/>
        </w:rPr>
        <w:t xml:space="preserve"> </w:t>
      </w:r>
      <w:r w:rsidRPr="00833547">
        <w:rPr>
          <w:rFonts w:ascii="Segoe UI" w:hAnsi="Segoe UI" w:cs="Segoe UI"/>
          <w:sz w:val="24"/>
          <w:szCs w:val="24"/>
        </w:rPr>
        <w:t>The performance of the</w:t>
      </w:r>
    </w:p>
    <w:p w:rsidR="003A60BA" w:rsidRPr="00833547" w:rsidRDefault="00585D0B" w:rsidP="00585D0B">
      <w:pPr>
        <w:ind w:firstLine="720"/>
        <w:jc w:val="both"/>
        <w:rPr>
          <w:rStyle w:val="notranslate"/>
          <w:rFonts w:ascii="Segoe UI" w:hAnsi="Segoe UI" w:cs="Segoe UI"/>
          <w:sz w:val="24"/>
          <w:szCs w:val="24"/>
          <w:lang w:val="en-US"/>
        </w:rPr>
      </w:pPr>
      <w:r w:rsidRPr="00833547">
        <w:rPr>
          <w:rFonts w:ascii="Segoe UI" w:hAnsi="Segoe UI" w:cs="Segoe UI"/>
          <w:sz w:val="24"/>
          <w:szCs w:val="24"/>
        </w:rPr>
        <w:lastRenderedPageBreak/>
        <w:t xml:space="preserve">destination on the first visit by visitors and the first experience of visiting decisions that affect the good memories of tourists and have an effect on the intention to return can both influence the decision to revisit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{"citationItems":[{"id":"ITEM-1","itemData":{"DOI":"10.1016/j.annals.2006.06.003","ISSN":"01607383","abstract":"Revisit intention has been regarded as an extension of satisfaction rather than an initiator of revisit decisionmaking process. Some other independent variables, related to perceived quality of performance during onsite and post-purchase periods as well as the destination's distinctive nature, may contribute to revisit likelihood. This study explores antecedents of this intention based on literature reviews and examines their significance based on the results of 2000-2003 surveys of pleasure tourists in Hong Kong. Research findings reveal that perceived attractiveness, rather than overall satisfaction, is the most important indicator. Managerial and theoretical implications are also discussed. © 2006 Elsevier Ltd. All rights reserved.","author":[{"dropping-particle":"","family":"Um","given":"Seoho","non-dropping-particle":"","parse-names":false,"suffix":""},{"dropping-particle":"","family":"Chon","given":"Kaye","non-dropping-particle":"","parse-names":false,"suffix":""},{"dropping-particle":"","family":"Ro","given":"Young Hee","non-dropping-particle":"","parse-names":false,"suffix":""}],"container-title":"Annals of Tourism Research","id":"ITEM-1","issue":"4","issued":{"date-parts":[["2006"]]},"page":"1141-1158","title":"Antecedents of revisit intention","type":"article-journal","volume":"33"},"uris":["http://www.mendeley.com/documents/?uuid=d724f0fd-4104-493c-9f70-10906e5f21af","http://www.mendeley.com/documents/?uuid=f2bfa3d2-2114-4d91-977f-b0eccd50a0a0"]},{"id":"ITEM-2","itemData":{"DOI":"10.1108/17506180910962113","ISBN":"1355585101109","ISSN":"17506182","abstract":"Purpose – The main purpose of the present paper is to identify the differences in the antecedents of holiday destinations revisit intentions in the short and long run. Specifically, this work analyzes the influence of specific variety seeking, perceived value, destination image, satisfaction, switching costs and past switching behavior. Design/methodology/approach – This is a quantitative study and the authors collected data personal interviews at households using the random route sampling technique. The sample comprises 400 tourists who have been on holiday at least once in the last two years, excluding lodging in relatives' and friends' houses or their own secondary residence. The data is analyzed through structural equation modeling. Findings – The results show that there are relevant differences in the antecedents of holiday destination revisit intentions in the short and long term. The main determinants of the intention to return to the destination for the next holiday are past switching behavior, switching costs and specific variety seeking, whereas the assessment of the destination (image and satisfaction) does not have a significant effect. However, in the long term, satisfaction becomes the most relevant antecedent of intentions to return, specific variety seeking maintains its influence, and past switching behavior and switching costs become irrelevant. Practical implications – The findings have relevant implications for destination managers in helping them to understand the temporal pattern of tourist revisit intentions and the main antecedents. Originality/value – The main contribution of this paper is twofold. Firstly, researchers have rarely considered the temporal dimension when analyzing the antecedents of revisit intention, despite the usefulness of this approach to improve the understanding of tourists' return intentions. Secondly, the research is focused on specific variety seeking – that is, the propensity to seek variety in a concrete product category; rather than general variety seeking that is the usual approach. © 2009, Emerald Group Publishing Limited","author":[{"dropping-particle":"","family":"Enrique Bigné","given":"J.","non-dropping-particle":"","parse-names":false,"suffix":""},{"dropping-particle":"","family":"Sánchez","given":"Isabel","non-dropping-particle":"","parse-names":false,"suffix":""},{"dropping-particle":"","family":"Andreu","given":"Luisa","non-dropping-particle":"","parse-names":false,"suffix":""}],"container-title":"International Journal of Culture, Tourism and Hospitality Research","id":"ITEM-2","issue":"2","issued":{"date-parts":[["2009"]]},"page":"103-115","title":"The role of variety seeking in short and long run revisit intentions in holiday destinations","type":"article-journal","volume":"3"},"uris":["http://www.mendeley.com/documents/?uuid=b20384b0-474b-42e4-81cc-428a8d277fd8","http://www.mendeley.com/documents/?uuid=a02e8fba-bdc6-48cc-a787-8b42bab3397c"]},{"id":"ITEM-3","itemData":{"DOI":"10.1016/j.jhtm.2016.12.005","ISSN":"18395260","abstract":"This article investigates the impact of eWOM on intention to revisit and destination trust, and the moderating role of gender in medical tourism industry. Result from structural equation modeling (n = 240) suggests the following: (1) that eWOM influences intention to revisit and destination trust; (2) that destination trust influences intention to revisit; (3) that the impact of eWOM on intention to revisit is about 1.3 times higher in men; (4) that the impact of eWOM on destination trust is about 1.2 times higher in men; and (5) the impact of destination trust on the intention to revisit is about 2.3 times higher in women. Implications and future research directions are discussed.","author":[{"dropping-particle":"","family":"Abubakar","given":"A. Mohammed","non-dropping-particle":"","parse-names":false,"suffix":""},{"dropping-particle":"","family":"Ilkan","given":"Mustafa","non-dropping-particle":"","parse-names":false,"suffix":""},{"dropping-particle":"","family":"Meshall Al-Tal","given":"Raad","non-dropping-particle":"","parse-names":false,"suffix":""},{"dropping-particle":"","family":"Eluwole","given":"Kayode Kolawole","non-dropping-particle":"","parse-names":false,"suffix":""}],"container-title":"Journal of Hospitality and Tourism Management","id":"ITEM-3","issued":{"date-parts":[["2017"]]},"page":"220-227","publisher":"Elsevier Ltd","title":"eWOM, revisit intention, destination trust and gender","type":"article-journal","volume":"31"},"uris":["http://www.mendeley.com/documents/?uuid=d7846b6f-e850-45f8-8154-e37e9c25e1a5","http://www.mendeley.com/documents/?uuid=51109430-6a6c-4eb3-829d-1510d316fc98"]}],"mendeley":{"formattedCitation":"(Abubakar et al., 2017; Enrique Bigné et al., 2009; Um et al., 2006)","plainTextFormattedCitation":"(Abubakar et al., 2017; Enrique Bigné et al., 2009; Um et al., 2006)","previouslyFormattedCitation":"(Abubakar et al., 2017; Enrique Bigné et al., 2009; Um et al., 2006)"},"properties":{"noteIndex":0},"schema":"https://github.com/citation-style-language/schema/raw/master/csl-citation.json"}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(Abubakar et al., 2017; Enrique Bigné et al., 2009; Um et al., 2006)</w:t>
      </w:r>
      <w:r w:rsidRPr="00833547">
        <w:rPr>
          <w:rFonts w:ascii="Segoe UI" w:hAnsi="Segoe UI" w:cs="Segoe UI"/>
          <w:sz w:val="24"/>
          <w:szCs w:val="24"/>
        </w:rPr>
        <w:fldChar w:fldCharType="end"/>
      </w:r>
    </w:p>
    <w:p w:rsidR="00C63058" w:rsidRPr="000A322B" w:rsidRDefault="000A322B" w:rsidP="004036D7">
      <w:pPr>
        <w:pStyle w:val="I-POINT"/>
      </w:pPr>
      <w:r w:rsidRPr="000A322B">
        <w:rPr>
          <w:rStyle w:val="notranslate"/>
        </w:rPr>
        <w:t xml:space="preserve">Literature </w:t>
      </w:r>
      <w:r w:rsidRPr="004036D7">
        <w:rPr>
          <w:rStyle w:val="notranslate"/>
        </w:rPr>
        <w:t>Review</w:t>
      </w:r>
      <w:r w:rsidR="004F10E8">
        <w:rPr>
          <w:rStyle w:val="notranslate"/>
        </w:rPr>
        <w:t xml:space="preserve"> </w:t>
      </w:r>
    </w:p>
    <w:p w:rsidR="003A60BA" w:rsidRDefault="003A60BA" w:rsidP="003A60BA">
      <w:pPr>
        <w:rPr>
          <w:b/>
          <w:sz w:val="24"/>
          <w:szCs w:val="24"/>
        </w:rPr>
      </w:pPr>
      <w:r>
        <w:rPr>
          <w:b/>
          <w:sz w:val="24"/>
          <w:szCs w:val="24"/>
        </w:rPr>
        <w:t>Lifestyle</w:t>
      </w:r>
    </w:p>
    <w:p w:rsidR="003A60BA" w:rsidRPr="00833547" w:rsidRDefault="003A60BA" w:rsidP="003A60BA">
      <w:pPr>
        <w:ind w:firstLine="709"/>
        <w:rPr>
          <w:rFonts w:ascii="Segoe UI" w:hAnsi="Segoe UI" w:cs="Segoe UI"/>
          <w:b/>
          <w:sz w:val="24"/>
          <w:szCs w:val="24"/>
        </w:rPr>
      </w:pPr>
      <w:r w:rsidRPr="00833547">
        <w:rPr>
          <w:rFonts w:ascii="Segoe UI" w:hAnsi="Segoe UI" w:cs="Segoe UI"/>
          <w:sz w:val="24"/>
          <w:szCs w:val="24"/>
          <w:lang w:val="en-US"/>
        </w:rPr>
        <w:t xml:space="preserve">One of the many variables that affect travelers' decision to engage in travel-related activities is their way of life. Tourism-related lifestyle choices, particularly those that reflect contemporary trends </w:t>
      </w:r>
      <w:r w:rsidRPr="00833547">
        <w:rPr>
          <w:rFonts w:ascii="Segoe UI" w:hAnsi="Segoe UI" w:cs="Segoe UI"/>
          <w:sz w:val="24"/>
          <w:szCs w:val="24"/>
          <w:lang w:val="en-US"/>
        </w:rPr>
        <w:fldChar w:fldCharType="begin" w:fldLock="1"/>
      </w:r>
      <w:r w:rsidRPr="00833547">
        <w:rPr>
          <w:rFonts w:ascii="Segoe UI" w:hAnsi="Segoe UI" w:cs="Segoe UI"/>
          <w:sz w:val="24"/>
          <w:szCs w:val="24"/>
        </w:rPr>
        <w:instrText>ADDIN CSL_CITATION {"citationItems":[{"id":"ITEM-1","itemData":{"DOI":"10.1016/j.tourman.2020.104259","ISSN":"02615177","abstract":"Despite increased academic attention to tourism lifestyle entrepreneurship (TLE), different discourses and continuous controversy have impeded an understanding of the phenomenon. This paper seeks to provide a new and in-depth understanding through a case study. We select the case of Naked Retreats Enterprise (NRE), a well-known tourism lifestyle corporation in China that has distinctive and deviant TLE. Based on the proposed research framework and multiple-source longitudinal data, we described and interpreted the change in the lifestyle role during the tourism entrepreneurial process. The findings suggest that the role of lifestyle in NRE changed from entrepreneurial motivation to a customer product and then to enterprise capital. The change dynamic is complex and related to contextual factors. This research verifies the effectiveness of a case study and features a dynamic lens and contextual sensibility as applied to TLE research. Moreover, and more broadly, the possibility of bridging the isolated lifestyle discourse in tourism is reflected.","author":[{"dropping-particle":"","family":"Zhang","given":"Haizhou","non-dropping-particle":"","parse-names":false,"suffix":""},{"dropping-particle":"","family":"Lu","given":"Lin","non-dropping-particle":"","parse-names":false,"suffix":""},{"dropping-particle":"","family":"Sun","given":"Feng","non-dropping-particle":"","parse-names":false,"suffix":""}],"container-title":"Tourism Management","id":"ITEM-1","issue":"189","issued":{"date-parts":[["2021"]]},"page":"104259","publisher":"Elsevier Ltd","title":"Changing role of lifestyle in tourism entrepreneurship: Case study of Naked Retreats Enterprise","type":"article-journal","volume":"84"},"uris":["http://www.mendeley.com/documents/?uuid=a31f3f0d-4576-4a00-826f-406033b7a506","http://www.mendeley.com/documents/?uuid=0435ff1f-f05b-43d1-ba8f-f08cbc590ac6"]}],"mendeley":{"formattedCitation":"(Zhang et al., 2021)","plainTextFormattedCitation":"(Zhang et al., 2021)","previouslyFormattedCitation":"(Zhang et al., 2021)"},"properties":{"noteIndex":0},"schema":"https://github.com/citation-style-language/schema/raw/master/csl-citation.json"}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rPr>
        <w:t>(Zhang et al., 2021)</w:t>
      </w:r>
      <w:r w:rsidRPr="00833547">
        <w:rPr>
          <w:rFonts w:ascii="Segoe UI" w:hAnsi="Segoe UI" w:cs="Segoe UI"/>
          <w:sz w:val="24"/>
          <w:szCs w:val="24"/>
          <w:lang w:val="en-US"/>
        </w:rPr>
        <w:fldChar w:fldCharType="end"/>
      </w:r>
      <w:r w:rsidRPr="00833547">
        <w:rPr>
          <w:rFonts w:ascii="Segoe UI" w:hAnsi="Segoe UI" w:cs="Segoe UI"/>
          <w:sz w:val="24"/>
          <w:szCs w:val="24"/>
        </w:rPr>
        <w:t xml:space="preserve">. </w:t>
      </w:r>
      <w:r w:rsidRPr="00833547">
        <w:rPr>
          <w:rFonts w:ascii="Segoe UI" w:hAnsi="Segoe UI" w:cs="Segoe UI"/>
          <w:sz w:val="24"/>
          <w:szCs w:val="24"/>
          <w:lang w:val="en-US"/>
        </w:rPr>
        <w:t xml:space="preserve">  </w:t>
      </w:r>
      <w:r w:rsidRPr="00833547">
        <w:rPr>
          <w:rFonts w:ascii="Segoe UI" w:hAnsi="Segoe UI" w:cs="Segoe UI"/>
          <w:sz w:val="24"/>
          <w:szCs w:val="24"/>
        </w:rPr>
        <w:t xml:space="preserve">A person's lifestyle is an expression of how living things or an individual might impact one another's behavior, such as when they use a good or service, decide where to go on vacation, or engage in an activity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{"citationItems":[{"id":"ITEM-1","itemData":{"DOI":"10.1016/j.tourman.2007.03.021","ISSN":"02615177","abstract":"There is increasing evidence that product and service attributes fall into three factors (basic, performance, and excitement factors) which affect overall satisfaction differently. This has been argued extensively in theory and has also been confirmed empirically. Researchers and practitioners have also recognized the importance of distinguishing these factors in order to manage customer satisfaction more effectively. Surprisingly, nobody has so far addressed the issue of market segmentation in this context. This paper reports an extensive empirical study which investigates the different roles of basic, performance and excitement factors in different market segments. The results clearly show that significant differences can be found among lifestyle segments. The implications of the findings are of central importance in both theory and practice. © 2007 Elsevier Ltd. All rights reserved.","author":[{"dropping-particle":"","family":"Füller","given":"Johann","non-dropping-particle":"","parse-names":false,"suffix":""},{"dropping-particle":"","family":"Matzler","given":"Kurt","non-dropping-particle":"","parse-names":false,"suffix":""}],"container-title":"Tourism Management","id":"ITEM-1","issue":"1","issued":{"date-parts":[["2008"]]},"page":"116-126","title":"Customer delight and market segmentation: An application of the three-factor theory of customer satisfaction on life style groups","type":"article-journal","volume":"29"},"uris":["http://www.mendeley.com/documents/?uuid=fd56a80b-feaf-4705-a824-37991a88e694"]}],"mendeley":{"formattedCitation":"(Füller &amp; Matzler, 2008)","plainTextFormattedCitation":"(Füller &amp; Matzler, 2008)","previouslyFormattedCitation":"(Füller &amp; Matzler, 2008)"},"properties":{"noteIndex":0},"schema":"https://github.com/citation-style-language/schema/raw/master/csl-citation.json"}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(Füller &amp; Matzler, 2008)</w:t>
      </w:r>
      <w:r w:rsidRPr="00833547">
        <w:rPr>
          <w:rFonts w:ascii="Segoe UI" w:hAnsi="Segoe UI" w:cs="Segoe UI"/>
          <w:sz w:val="24"/>
          <w:szCs w:val="24"/>
        </w:rPr>
        <w:fldChar w:fldCharType="end"/>
      </w:r>
      <w:r w:rsidRPr="00833547">
        <w:rPr>
          <w:rFonts w:ascii="Segoe UI" w:hAnsi="Segoe UI" w:cs="Segoe UI"/>
          <w:sz w:val="24"/>
          <w:szCs w:val="24"/>
        </w:rPr>
        <w:t xml:space="preserve">. Lifestyle is the attainment of status by deeds that must be seen as symbols in a certain group by displaying honesty and camaraderie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{"citationItems":[{"id":"ITEM-1","itemData":{"DOI":"10.1080/07053436.1987.10715276","ISSN":"17050154","abstract":"The paper presents a theoretical frame to approach life style as a means that actively contributes to the structuration of social inequality. Life style is viewed as a totality of symbols that do not reflect, but rather construct the social identity of the actors in social interaction and that can create a sense of community between them. The meaning of life styles is realized through an interaction between symbols and verification mechanisms and is constituted during social interaction. Verification mechanisms can be defined as means that appear to control the distribution of social resources through the diffusion of binding (more or less general) conceptions of the important and the valuable. On the one hand, the mechanisms thus induce an interpretation of life styles. On the other hand, the interpretation of certain life styles can itself change the conceptions that the verification mechanisms diffuse. This capacity to influence the verification mechanisms can be conceived of as the power of life style. © 1987 Presses de I’Universitá du Quábec.","author":[{"dropping-particle":"","family":"Scheys","given":"Micheline","non-dropping-particle":"","parse-names":false,"suffix":""}],"container-title":"Loisir et Societe","id":"ITEM-1","issue":"2","issued":{"date-parts":[["2013"]]},"page":"249-266","title":"The Power of life style","type":"article-journal","volume":"10"},"uris":["http://www.mendeley.com/documents/?uuid=2e491d05-12e8-4441-a76c-60df1144be83"]}],"mendeley":{"formattedCitation":"(Scheys, 2013)","plainTextFormattedCitation":"(Scheys, 2013)","previouslyFormattedCitation":"(Scheys, 2013)"},"properties":{"noteIndex":0},"schema":"https://github.com/citation-style-language/schema/raw/master/csl-citation.json"}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(Scheys, 2013)</w:t>
      </w:r>
      <w:r w:rsidRPr="00833547">
        <w:rPr>
          <w:rFonts w:ascii="Segoe UI" w:hAnsi="Segoe UI" w:cs="Segoe UI"/>
          <w:sz w:val="24"/>
          <w:szCs w:val="24"/>
        </w:rPr>
        <w:fldChar w:fldCharType="end"/>
      </w:r>
      <w:r w:rsidRPr="00833547">
        <w:rPr>
          <w:rFonts w:ascii="Segoe UI" w:hAnsi="Segoe UI" w:cs="Segoe UI"/>
          <w:sz w:val="24"/>
          <w:szCs w:val="24"/>
        </w:rPr>
        <w:t xml:space="preserve">. A living creature with a choice in his or her everyday activities is said to have a lifestyle. This individual or group of people should pay attention to their quality of life as a lifestyle aim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{"citationItems":[{"id":"ITEM-1","itemData":{"DOI":"10.1016/B978-0-08-097086-8.03162-7","ISBN":"9780080970875","abstract":"The term lifestyle is widely used in sociology and many other subdisciplines of the social sciences. Alfred Adler and Max Weber can be named as the first who developed the term and the concept.Lifestyle can be defined as a set of behaviors, preferences, and practices, which are present in daily life.In modern social theory, Beck and Bourdieu further developed the concept from an agency perspective (Beck) and from a more structural perspective (Bourdieu).The term lifestyle is used in many empirical studies in different subdisciplines of the social sciences, but in a very broad way, in many cases without reference to the underlying theoretical assumptions.","author":[{"dropping-particle":"","family":"Muckenhuber","given":"Johanna","non-dropping-particle":"","parse-names":false,"suffix":""}],"container-title":"International Encyclopedia of the Social &amp; Behavioral Sciences: Second Edition","edition":"Second Edi","id":"ITEM-1","issued":{"date-parts":[["2015"]]},"number-of-pages":"112-115","publisher":"Elsevier","title":"Life-style, History of the Concept","type":"book","volume":"14"},"uris":["http://www.mendeley.com/documents/?uuid=b9c11984-9dfd-4b41-bc38-226bdbed9e59"]}],"mendeley":{"formattedCitation":"(Muckenhuber, 2015)","plainTextFormattedCitation":"(Muckenhuber, 2015)","previouslyFormattedCitation":"(Muckenhuber, 2015)"},"properties":{"noteIndex":0},"schema":"https://github.com/citation-style-language/schema/raw/master/csl-citation.json"}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(Muckenhuber, 2015)</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rPr>
        <w:t xml:space="preserve"> </w:t>
      </w:r>
      <w:r w:rsidRPr="00833547">
        <w:rPr>
          <w:rFonts w:ascii="Segoe UI" w:hAnsi="Segoe UI" w:cs="Segoe UI"/>
          <w:sz w:val="24"/>
          <w:szCs w:val="24"/>
        </w:rPr>
        <w:t xml:space="preserve">Consumption patterns are determined by lifestyle and reflect a person's decisions on how to use his time and resources. The following six factors are employed in lifestyle research, according to Solomon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{"citationItems":[{"id":"ITEM-1","itemData":{"DOI":"10.1108/00251740910960169","ISSN":"0025-1747","author":[{"dropping-particle":"","family":"Solomon","given":"Michael","non-dropping-particle":"","parse-names":false,"suffix":""}],"container-title":"Management Decision","id":"ITEM-1","issued":{"date-parts":[["2009"]]},"title":"Consumer Behavior: Buying, Having, and Being (8th ed.)20091Michael R. Solomon. Consumer Behavior: Buying, Having, and Being (8th ed.) . Upper Saddle River, NJ: Pearson Education 2009. , ISBN: ‐13: 978‐0‐13‐515336‐9 ‐10: 0‐13‐515336‐0","type":"article-journal"},"uris":["http://www.mendeley.com/documents/?uuid=85f0bc8f-83cf-40c2-8e14-8395fdf88936"]}],"mendeley":{"formattedCitation":"(Solomon, 2009)","plainTextFormattedCitation":"(Solomon, 2009)","previouslyFormattedCitation":"(2009)"},"properties":{"noteIndex":0},"schema":"https://github.com/citation-style-language/schema/raw/master/csl-citation.json"}</w:instrText>
      </w:r>
      <w:r w:rsidRPr="00833547">
        <w:rPr>
          <w:rFonts w:ascii="Segoe UI" w:hAnsi="Segoe UI" w:cs="Segoe UI"/>
          <w:sz w:val="24"/>
          <w:szCs w:val="24"/>
        </w:rPr>
        <w:fldChar w:fldCharType="separate"/>
      </w:r>
      <w:r w:rsidR="00CC2B47" w:rsidRPr="00CC2B47">
        <w:rPr>
          <w:rFonts w:ascii="Segoe UI" w:hAnsi="Segoe UI" w:cs="Segoe UI"/>
          <w:noProof/>
          <w:sz w:val="24"/>
          <w:szCs w:val="24"/>
        </w:rPr>
        <w:t>(Solomon, 2009)</w:t>
      </w:r>
      <w:r w:rsidRPr="00833547">
        <w:rPr>
          <w:rFonts w:ascii="Segoe UI" w:hAnsi="Segoe UI" w:cs="Segoe UI"/>
          <w:sz w:val="24"/>
          <w:szCs w:val="24"/>
        </w:rPr>
        <w:fldChar w:fldCharType="end"/>
      </w:r>
      <w:r w:rsidRPr="00833547">
        <w:rPr>
          <w:rFonts w:ascii="Segoe UI" w:hAnsi="Segoe UI" w:cs="Segoe UI"/>
          <w:sz w:val="24"/>
          <w:szCs w:val="24"/>
        </w:rPr>
        <w:t>: attitudes, values, hobbies, media usage patterns, and usage rates.</w:t>
      </w:r>
    </w:p>
    <w:p w:rsidR="00D016E4" w:rsidRPr="00833547" w:rsidRDefault="003A60BA" w:rsidP="003A60BA">
      <w:pPr>
        <w:ind w:firstLine="709"/>
        <w:jc w:val="both"/>
        <w:rPr>
          <w:rFonts w:ascii="Segoe UI" w:eastAsia="Calibri" w:hAnsi="Segoe UI" w:cs="Segoe UI"/>
          <w:sz w:val="24"/>
        </w:rPr>
      </w:pPr>
      <w:r w:rsidRPr="00833547">
        <w:rPr>
          <w:rFonts w:ascii="Segoe UI" w:hAnsi="Segoe UI" w:cs="Segoe UI"/>
          <w:sz w:val="24"/>
          <w:szCs w:val="24"/>
        </w:rPr>
        <w:t>The way people live has an impact on how interested visitors are in visiting and traveling</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{"citationItems":[{"id":"ITEM-1","itemData":{"DOI":"10.1016/j.iedeen.2021.100155","ISSN":"24448834","abstract":"Several research attempts contributed to the literature related to lifestyle market segmentation mainly aimed to define lifestyle segments on a given product/service market in a positivist perspective. However, there is a lack of research interest on a normative perspective, questioning lifestyle segmentation effectiveness to have a guidance for brands regarding how it impacts brand purchase intention in different product types and consumer groups in comparison to brand perceived value. Therefore, this research purposes to define a formulation understanding the impact of lifestyle segmentation on purchase intention in relation to brand perceived value. After defining lifestyle segments of four different product category consumers using an AIO scale approach; the relationships through lifestyle, brand value perception and purchase intention were analysed empirically by using multiple analysis methods for selected product categories. As a result, the lifestyle segmentation couldn't be defined as the main and direct driver of brand purchase intention while consumer's perceived values which are affected by lifestyle significantly impact the purchase intention and this value mapping varies across product categories.","author":[{"dropping-particle":"","family":"Akkaya","given":"Murat","non-dropping-particle":"","parse-names":false,"suffix":""}],"container-title":"European Research on Management and Business Economics","id":"ITEM-1","issue":"3","issued":{"date-parts":[["2021"]]},"page":"100155","publisher":"Elsevier Espana, S.L.","title":"Understanding the impacts of lifestyle segmentation &amp; perceived value on brand purchase intention: An empirical study in different product categories","type":"article-journal","volume":"27"},"uris":["http://www.mendeley.com/documents/?uuid=ff145615-90b5-4443-a839-2eb9193c31e9"]}],"mendeley":{"formattedCitation":"(Akkaya, 2021)","plainTextFormattedCitation":"(Akkaya, 2021)","previouslyFormattedCitation":"(Akkaya, 2021)"},"properties":{"noteIndex":0},"schema":"https://github.com/citation-style-language/schema/raw/master/csl-citation.json"}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(Akkaya, 2021)</w:t>
      </w:r>
      <w:r w:rsidRPr="00833547">
        <w:rPr>
          <w:rFonts w:ascii="Segoe UI" w:hAnsi="Segoe UI" w:cs="Segoe UI"/>
          <w:sz w:val="24"/>
          <w:szCs w:val="24"/>
        </w:rPr>
        <w:fldChar w:fldCharType="end"/>
      </w:r>
      <w:r w:rsidRPr="00833547">
        <w:rPr>
          <w:rFonts w:ascii="Segoe UI" w:hAnsi="Segoe UI" w:cs="Segoe UI"/>
          <w:sz w:val="24"/>
          <w:szCs w:val="24"/>
        </w:rPr>
        <w:t>. Decisions on where to go are significantly influenced by lifestyle</w:t>
      </w:r>
      <w:r w:rsidRPr="00833547">
        <w:rPr>
          <w:rFonts w:ascii="Segoe UI" w:hAnsi="Segoe UI" w:cs="Segoe UI"/>
          <w:sz w:val="24"/>
          <w:szCs w:val="24"/>
          <w:lang w:val="en-US"/>
        </w:rPr>
        <w:t xml:space="preserve"> </w:t>
      </w:r>
      <w:r w:rsidRPr="00833547">
        <w:rPr>
          <w:rFonts w:ascii="Segoe UI" w:hAnsi="Segoe UI" w:cs="Segoe UI"/>
          <w:sz w:val="24"/>
          <w:szCs w:val="24"/>
          <w:lang w:val="en-US"/>
        </w:rPr>
        <w:fldChar w:fldCharType="begin" w:fldLock="1"/>
      </w:r>
      <w:r w:rsidR="00CC2B47">
        <w:rPr>
          <w:rFonts w:ascii="Segoe UI" w:hAnsi="Segoe UI" w:cs="Segoe UI"/>
          <w:sz w:val="24"/>
          <w:szCs w:val="24"/>
        </w:rPr>
        <w:instrText>ADDIN CSL_CITATION {"citationItems":[{"id":"ITEM-1","itemData":{"abstract":"This research is meant to find out the influence of lifestyle, promotion, and product quality to the purchasing decision in Clothing Store Cosmic Surabaya Branch. The population is all customers who are In Clothing Store Cosmic Branch Surabaya. The sample collection technique has been done by using non- probability sampling which does not provide opportunity or equal opportunity for each member of the population element to be selected as samples which means that the samples are only the customers who have purchased the product at Store Cosmic, and 100 respondents have been obtained. Methods of data collection using questionnaires. The data analysis technique has been done by using multiple linear regressions.The result of test shows that lifestyle, promotion and product quality variables have significant and positive influence to the purchasing decision. Based on the value of partial coefficient determination, product quality has become the variable which has dominant influence to the purchasing decision. It means that when the product quality is getting better, it will have an impact on the enhancement of the purchasing decision at Clothing Store Cosmic Surabaya Branch","author":[{"dropping-particle":"","family":"Kaharu","given":"Debora","non-dropping-particle":"","parse-names":false,"suffix":""},{"dropping-particle":"","family":"Budiarti","given":"Anindhyta","non-dropping-particle":"","parse-names":false,"suffix":""}],"container-title":"Jurnal Ilmu dan Riset Manajemen, ISSN : 2461-0593","id":"ITEM-1","issue":"3","issued":{"date-parts":[["2016"]]},"page":"1-24","title":"Pengaruh Gaya Hidup, Promosi, dan Kualitas Produk terhadap Keputusan Pembelian pada Cosmic","type":"article-journal","volume":"5"},"uris":["http://www.mendeley.com/documents/?uuid=d1c39456-4da5-4d47-babf-44f2da771434"]}],"mendeley":{"formattedCitation":"(Kaharu &amp; Budiarti, 2016)","plainTextFormattedCitation":"(Kaharu &amp; Budiarti, 2016)","previouslyFormattedCitation":"(Kaharu &amp; Budiarti, 2016)"},"properties":{"noteIndex":0},"schema":"https://github.com/citation-style-language/schema/raw/master/csl-citation.json"}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rPr>
        <w:t>(Kaharu &amp; Budiarti, 2016)</w:t>
      </w:r>
      <w:r w:rsidRPr="00833547">
        <w:rPr>
          <w:rFonts w:ascii="Segoe UI" w:hAnsi="Segoe UI" w:cs="Segoe UI"/>
          <w:sz w:val="24"/>
          <w:szCs w:val="24"/>
          <w:lang w:val="en-US"/>
        </w:rPr>
        <w:fldChar w:fldCharType="end"/>
      </w:r>
      <w:r w:rsidRPr="00833547">
        <w:rPr>
          <w:rFonts w:ascii="Segoe UI" w:hAnsi="Segoe UI" w:cs="Segoe UI"/>
          <w:sz w:val="24"/>
          <w:szCs w:val="24"/>
        </w:rPr>
        <w:t xml:space="preserve">. Age, culture, and other traits as well as prior studies demonstrating that </w:t>
      </w:r>
      <w:r w:rsidRPr="00833547">
        <w:rPr>
          <w:rFonts w:ascii="Segoe UI" w:hAnsi="Segoe UI" w:cs="Segoe UI"/>
          <w:sz w:val="24"/>
          <w:szCs w:val="24"/>
        </w:rPr>
        <w:lastRenderedPageBreak/>
        <w:t>lifestyle has a major impact on intention to return all support the idea that lifestyle influences the decision of whether to return</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10.5267/j.ijdns.2022.9.001","author":[{"dropping-particle":"","family":"Samuel","given":"Sylvia","non-dropping-particle":"","parse-names":false,"suffix":""},{"dropping-particle":"","family":"Lily","given":"Tiurida","non-dropping-particle":"","parse-names":false,"suffix":""}],"id":"ITEM-1","issued":{"date-parts":[["2022"]]},"page":"449-456","title":"International Journal of Data and Network Science The relationship between trends in technology use and repurchase intention","type":"article-journal","volume":"7"},"uris":["http://www.mendeley.com/documents/?uuid=bf0d93bb-5e44-4f77-98ae-247b21b3d9d7","http://www.mendeley.com/documents/?uuid=1613455a-39c0-4f7c-9d84-1b1adc258ca1"]}],"mendeley":{"formattedCitation":"(Samuel &amp; Lily, 2022)","plainTextFormattedCitation":"(Samuel &amp; Lily, 2022)","previouslyFormattedCitation":"(Samuel &amp; Lily, 2022)"},"properties":{"noteIndex":0},"schema":"https://github.com/citation-style-language/schema/raw/master/csl-citation.json"}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(Samuel &amp; Lily, 2022)</w:t>
      </w:r>
      <w:r w:rsidRPr="00833547">
        <w:rPr>
          <w:rFonts w:ascii="Segoe UI" w:hAnsi="Segoe UI" w:cs="Segoe UI"/>
          <w:sz w:val="24"/>
          <w:szCs w:val="24"/>
        </w:rPr>
        <w:fldChar w:fldCharType="end"/>
      </w:r>
      <w:r w:rsidRPr="00833547">
        <w:rPr>
          <w:rFonts w:ascii="Segoe UI" w:hAnsi="Segoe UI" w:cs="Segoe UI"/>
          <w:sz w:val="24"/>
          <w:szCs w:val="24"/>
        </w:rPr>
        <w:t>.</w:t>
      </w:r>
    </w:p>
    <w:p w:rsidR="00D016E4" w:rsidRPr="007103ED" w:rsidRDefault="00D016E4" w:rsidP="00D016E4">
      <w:pPr>
        <w:tabs>
          <w:tab w:val="left" w:pos="5649"/>
        </w:tabs>
        <w:jc w:val="both"/>
        <w:rPr>
          <w:color w:val="FF0000"/>
          <w:sz w:val="24"/>
          <w:szCs w:val="24"/>
        </w:rPr>
      </w:pPr>
      <w:r>
        <w:rPr>
          <w:b/>
          <w:sz w:val="24"/>
          <w:szCs w:val="24"/>
        </w:rPr>
        <w:t>Art Collection</w:t>
      </w:r>
      <w:r>
        <w:rPr>
          <w:b/>
          <w:sz w:val="24"/>
          <w:szCs w:val="24"/>
        </w:rPr>
        <w:tab/>
      </w:r>
    </w:p>
    <w:p w:rsidR="003A60BA" w:rsidRPr="00833547" w:rsidRDefault="00D016E4" w:rsidP="003A60BA">
      <w:pPr>
        <w:ind w:firstLine="709"/>
        <w:jc w:val="both"/>
        <w:rPr>
          <w:rFonts w:ascii="Segoe UI" w:hAnsi="Segoe UI" w:cs="Segoe UI"/>
          <w:sz w:val="24"/>
          <w:szCs w:val="24"/>
        </w:rPr>
      </w:pPr>
      <w:r w:rsidRPr="00833547">
        <w:rPr>
          <w:rFonts w:ascii="Segoe UI" w:hAnsi="Segoe UI" w:cs="Segoe UI"/>
          <w:b/>
          <w:sz w:val="24"/>
          <w:szCs w:val="24"/>
        </w:rPr>
        <w:tab/>
      </w:r>
      <w:r w:rsidR="003A60BA" w:rsidRPr="00833547">
        <w:rPr>
          <w:rFonts w:ascii="Segoe UI" w:hAnsi="Segoe UI" w:cs="Segoe UI"/>
          <w:sz w:val="24"/>
          <w:szCs w:val="24"/>
        </w:rPr>
        <w:t>Collections are one way to conserve art over time and enable it to convey a more meaningful sense of life</w:t>
      </w:r>
      <w:r w:rsidR="003A60BA" w:rsidRPr="00833547">
        <w:rPr>
          <w:rFonts w:ascii="Segoe UI" w:hAnsi="Segoe UI" w:cs="Segoe UI"/>
          <w:sz w:val="24"/>
          <w:szCs w:val="24"/>
          <w:lang w:val="en-US"/>
        </w:rPr>
        <w:t xml:space="preserve"> </w:t>
      </w:r>
      <w:r w:rsidR="003A60BA" w:rsidRPr="00833547">
        <w:rPr>
          <w:rFonts w:ascii="Segoe UI" w:hAnsi="Segoe UI" w:cs="Segoe UI"/>
          <w:sz w:val="24"/>
          <w:szCs w:val="24"/>
          <w:lang w:val="en-US"/>
        </w:rPr>
        <w:fldChar w:fldCharType="begin" w:fldLock="1"/>
      </w:r>
      <w:r w:rsidR="00CC2B47">
        <w:rPr>
          <w:rFonts w:ascii="Segoe UI" w:hAnsi="Segoe UI" w:cs="Segoe UI"/>
          <w:sz w:val="24"/>
          <w:szCs w:val="24"/>
          <w:lang w:val="en-US"/>
        </w:rPr>
        <w:instrText>ADDIN CSL_CITATION {"citationItems":[{"id":"ITEM-1","itemData":{"DOI":"10.1002/9780470996836.ch6","ISBN":"9781405108393","author":[{"dropping-particle":"","family":"Macdonald","given":"Sharon","non-dropping-particle":"","parse-names":false,"suffix":""}],"container-title":"A Companion to Museum Studies","id":"ITEM-1","issued":{"date-parts":[["2007"]]},"page":"81-97","title":"Collecting Practices","type":"article-journal"},"uris":["http://www.mendeley.com/documents/?uuid=5a11ca61-c8bf-41c2-b622-446be71c85b0"]}],"mendeley":{"formattedCitation":"(Macdonald, 2007)","plainTextFormattedCitation":"(Macdonald, 2007)","previouslyFormattedCitation":"(Macdonald, 2007)"},"properties":{"noteIndex":0},"schema":"https://github.com/citation-style-language/schema/raw/master/csl-citation.json"}</w:instrText>
      </w:r>
      <w:r w:rsidR="003A60BA" w:rsidRPr="00833547">
        <w:rPr>
          <w:rFonts w:ascii="Segoe UI" w:hAnsi="Segoe UI" w:cs="Segoe UI"/>
          <w:sz w:val="24"/>
          <w:szCs w:val="24"/>
          <w:lang w:val="en-US"/>
        </w:rPr>
        <w:fldChar w:fldCharType="separate"/>
      </w:r>
      <w:r w:rsidR="003A60BA" w:rsidRPr="00833547">
        <w:rPr>
          <w:rFonts w:ascii="Segoe UI" w:hAnsi="Segoe UI" w:cs="Segoe UI"/>
          <w:noProof/>
          <w:sz w:val="24"/>
          <w:szCs w:val="24"/>
          <w:lang w:val="en-US"/>
        </w:rPr>
        <w:t>(Macdonald, 2007)</w:t>
      </w:r>
      <w:r w:rsidR="003A60BA" w:rsidRPr="00833547">
        <w:rPr>
          <w:rFonts w:ascii="Segoe UI" w:hAnsi="Segoe UI" w:cs="Segoe UI"/>
          <w:sz w:val="24"/>
          <w:szCs w:val="24"/>
          <w:lang w:val="en-US"/>
        </w:rPr>
        <w:fldChar w:fldCharType="end"/>
      </w:r>
      <w:r w:rsidR="003A60BA" w:rsidRPr="00833547">
        <w:rPr>
          <w:rFonts w:ascii="Segoe UI" w:hAnsi="Segoe UI" w:cs="Segoe UI"/>
          <w:sz w:val="24"/>
          <w:szCs w:val="24"/>
          <w:lang w:val="en-US"/>
        </w:rPr>
        <w:t>. T</w:t>
      </w:r>
      <w:r w:rsidR="003A60BA" w:rsidRPr="00833547">
        <w:rPr>
          <w:rFonts w:ascii="Segoe UI" w:hAnsi="Segoe UI" w:cs="Segoe UI"/>
          <w:sz w:val="24"/>
          <w:szCs w:val="24"/>
        </w:rPr>
        <w:t xml:space="preserve">hrough the acquisition of works of art, decorative items, and apparel, one may satisfy their aesthetic demands and express their aesthetic ideals through their art collections </w:t>
      </w:r>
      <w:r w:rsidR="003A60BA"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{"citationItems":[{"id":"ITEM-1","itemData":{"ISBN":"0203428277","author":[{"dropping-particle":"","family":"M.Pearce","given":"Susan","non-dropping-particle":"","parse-names":false,"suffix":""}],"id":"ITEM-1","issued":{"date-parts":[["2003"]]},"title":"Interpreting Objects and Collections","type":"book"},"uris":["http://www.mendeley.com/documents/?uuid=20916579-679f-4c11-be30-1f49d871d922"]}],"mendeley":{"formattedCitation":"(M.Pearce, 2003)","plainTextFormattedCitation":"(M.Pearce, 2003)","previouslyFormattedCitation":"(M.Pearce, 2003)"},"properties":{"noteIndex":0},"schema":"https://github.com/citation-style-language/schema/raw/master/csl-citation.json"}</w:instrText>
      </w:r>
      <w:r w:rsidR="003A60BA" w:rsidRPr="00833547">
        <w:rPr>
          <w:rFonts w:ascii="Segoe UI" w:hAnsi="Segoe UI" w:cs="Segoe UI"/>
          <w:sz w:val="24"/>
          <w:szCs w:val="24"/>
        </w:rPr>
        <w:fldChar w:fldCharType="separate"/>
      </w:r>
      <w:r w:rsidR="003A60BA" w:rsidRPr="00833547">
        <w:rPr>
          <w:rFonts w:ascii="Segoe UI" w:hAnsi="Segoe UI" w:cs="Segoe UI"/>
          <w:noProof/>
          <w:sz w:val="24"/>
          <w:szCs w:val="24"/>
        </w:rPr>
        <w:t>(M.Pearce, 2003)</w:t>
      </w:r>
      <w:r w:rsidR="003A60BA" w:rsidRPr="00833547">
        <w:rPr>
          <w:rFonts w:ascii="Segoe UI" w:hAnsi="Segoe UI" w:cs="Segoe UI"/>
          <w:sz w:val="24"/>
          <w:szCs w:val="24"/>
        </w:rPr>
        <w:fldChar w:fldCharType="end"/>
      </w:r>
      <w:r w:rsidR="003A60BA" w:rsidRPr="00833547">
        <w:rPr>
          <w:rFonts w:ascii="Segoe UI" w:hAnsi="Segoe UI" w:cs="Segoe UI"/>
          <w:sz w:val="24"/>
          <w:szCs w:val="24"/>
          <w:lang w:val="en-US"/>
        </w:rPr>
        <w:t xml:space="preserve">. </w:t>
      </w:r>
      <w:r w:rsidR="003A60BA" w:rsidRPr="00833547">
        <w:rPr>
          <w:rFonts w:ascii="Segoe UI" w:hAnsi="Segoe UI" w:cs="Segoe UI"/>
          <w:sz w:val="24"/>
          <w:szCs w:val="24"/>
        </w:rPr>
        <w:t xml:space="preserve"> Collections are made to handle an item or work in depth or according to a certain format while providing a clear image of the artwork </w:t>
      </w:r>
      <w:r w:rsidR="003A60BA"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{"citationItems":[{"id":"ITEM-1","itemData":{"DOI":"10.1080/00393630.2019.1603921","ISSN":"20470584","abstract":"It has been widely acknowledged that reinstallations and re-executions of contemporary artworks substantially rely on available documentation. Especially for installations and performances it is crucial to record the artist’s intent, past iterations, and tacit knowledge involved in staging the artwork. The growing presence of contemporary artworks in museum collections increases the importance of documentation as a central focus of collection care. However, collections management systems have limitations in adequately presenting these often rich forms of documentation. Consequently, documentation required for presenting a specific complex artwork is often dispersed across multiple systems, drives, and dossiers inside various departments. In recent years, several initiatives responded to these challenges by implementing a digital platform supporting the conservation of contemporary art. Collaborative networked software such as wiki came into focus as a prominent choice for managing the related documentation. The wiki promises to integrate diverse material in one place and accommodate much-needed requirements such as multiple iterations of an artwork, relations between its elements, and multimedia content. This paper takes the case of San Francisco Museum of Modern Art (SFMOMA)’s experimental use of MediaWiki to determine whether and under what conditions a wiki is capable of supporting collection care sufficiently in terms of documenting time-based media art. The case further illustrates the consequence of adopting a content management system as knowledge base for conservation. While collections management systems are designed primarily to handle objects using forms, wikis are publishing platforms in the first place and provide a different kind of framework for artwork records. They are designed to employ text and media to compose articles. We propose to conceptualise this consequential role of conservator as a manager of content, an editor.","author":[{"dropping-particle":"","family":"Barok","given":"Dušan","non-dropping-particle":"","parse-names":false,"suffix":""},{"dropping-particle":"","family":"Noordegraaf","given":"Julia","non-dropping-particle":"","parse-names":false,"suffix":""},{"dropping-particle":"","family":"Vries","given":"Arjen P.","non-dropping-particle":"de","parse-names":false,"suffix":""}],"container-title":"Studies in Conservation","id":"ITEM-1","issue":"8","issued":{"date-parts":[["2019"]]},"page":"472-489","publisher":"Taylor &amp; Francis","title":"From Collection Management to Content Management in Art Documentation: The Conservator as an Editor","type":"article-journal","volume":"64"},"uris":["http://www.mendeley.com/documents/?uuid=ff87c3c1-9015-41c7-8bc7-3cf14a4e96b8"]}],"mendeley":{"formattedCitation":"(Barok et al., 2019)","plainTextFormattedCitation":"(Barok et al., 2019)","previouslyFormattedCitation":"(Barok et al., 2019)"},"properties":{"noteIndex":0},"schema":"https://github.com/citation-style-language/schema/raw/master/csl-citation.json"}</w:instrText>
      </w:r>
      <w:r w:rsidR="003A60BA" w:rsidRPr="00833547">
        <w:rPr>
          <w:rFonts w:ascii="Segoe UI" w:hAnsi="Segoe UI" w:cs="Segoe UI"/>
          <w:sz w:val="24"/>
          <w:szCs w:val="24"/>
        </w:rPr>
        <w:fldChar w:fldCharType="separate"/>
      </w:r>
      <w:r w:rsidR="003A60BA" w:rsidRPr="00833547">
        <w:rPr>
          <w:rFonts w:ascii="Segoe UI" w:hAnsi="Segoe UI" w:cs="Segoe UI"/>
          <w:noProof/>
          <w:sz w:val="24"/>
          <w:szCs w:val="24"/>
        </w:rPr>
        <w:t>(Barok et al., 2019)</w:t>
      </w:r>
      <w:r w:rsidR="003A60BA" w:rsidRPr="00833547">
        <w:rPr>
          <w:rFonts w:ascii="Segoe UI" w:hAnsi="Segoe UI" w:cs="Segoe UI"/>
          <w:sz w:val="24"/>
          <w:szCs w:val="24"/>
        </w:rPr>
        <w:fldChar w:fldCharType="end"/>
      </w:r>
      <w:r w:rsidR="003A60BA" w:rsidRPr="00833547">
        <w:rPr>
          <w:rFonts w:ascii="Segoe UI" w:hAnsi="Segoe UI" w:cs="Segoe UI"/>
          <w:sz w:val="24"/>
          <w:szCs w:val="24"/>
          <w:lang w:val="en-US"/>
        </w:rPr>
        <w:t xml:space="preserve">. </w:t>
      </w:r>
      <w:r w:rsidR="003A60BA" w:rsidRPr="00833547">
        <w:rPr>
          <w:rFonts w:ascii="Segoe UI" w:hAnsi="Segoe UI" w:cs="Segoe UI"/>
          <w:sz w:val="24"/>
          <w:szCs w:val="24"/>
        </w:rPr>
        <w:t xml:space="preserve"> Artists and viewers who are committed to interaction create art, acting as social mediators through their creations </w:t>
      </w:r>
      <w:r w:rsidR="003A60BA"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{"citationItems":[{"id":"ITEM-1","itemData":{"DOI":"10.1016/j.sbspro.2012.06.598","ISSN":"18770428","abstract":"This article argues that visual arts education is one consequential value of the acquisition and placing public sculptures. My thesis clarified the functions public sculptures of the Jyväskylä City Art Collection performed in the city in 1977-2007 and the analysis showed that the city acquired and placed public sculptures based on grounds related to the cityscape and visual arts education of the citizens. Furthermore, this article suggests that through public art acquisitions and their thoughtful placing equally anyone can learn more about visual arts, design and aesthetic value embedded in the urban planning and the built environment.","author":[{"dropping-particle":"","family":"Myllyntaus","given":"Oona","non-dropping-particle":"","parse-names":false,"suffix":""}],"container-title":"Procedia - Social and Behavioral Sciences","id":"ITEM-1","issued":{"date-parts":[["2012"]]},"page":"605-614","title":"Visual Arts Education Reasoning the Acquisition and Placement of Public Sculptures – Case of the Public Sculptures of the Jyväskylä City Art Collection in 1977-2007","type":"article-journal","volume":"45"},"uris":["http://www.mendeley.com/documents/?uuid=e8e79117-c6ce-4c82-bcca-d3b576af0d7e"]}],"mendeley":{"formattedCitation":"(Myllyntaus, 2012)","plainTextFormattedCitation":"(Myllyntaus, 2012)","previouslyFormattedCitation":"(Myllyntaus, 2012)"},"properties":{"noteIndex":0},"schema":"https://github.com/citation-style-language/schema/raw/master/csl-citation.json"}</w:instrText>
      </w:r>
      <w:r w:rsidR="003A60BA" w:rsidRPr="00833547">
        <w:rPr>
          <w:rFonts w:ascii="Segoe UI" w:hAnsi="Segoe UI" w:cs="Segoe UI"/>
          <w:sz w:val="24"/>
          <w:szCs w:val="24"/>
        </w:rPr>
        <w:fldChar w:fldCharType="separate"/>
      </w:r>
      <w:r w:rsidR="003A60BA" w:rsidRPr="00833547">
        <w:rPr>
          <w:rFonts w:ascii="Segoe UI" w:hAnsi="Segoe UI" w:cs="Segoe UI"/>
          <w:noProof/>
          <w:sz w:val="24"/>
          <w:szCs w:val="24"/>
        </w:rPr>
        <w:t>(Myllyntaus, 2012)</w:t>
      </w:r>
      <w:r w:rsidR="003A60BA" w:rsidRPr="00833547">
        <w:rPr>
          <w:rFonts w:ascii="Segoe UI" w:hAnsi="Segoe UI" w:cs="Segoe UI"/>
          <w:sz w:val="24"/>
          <w:szCs w:val="24"/>
        </w:rPr>
        <w:fldChar w:fldCharType="end"/>
      </w:r>
      <w:r w:rsidR="003A60BA" w:rsidRPr="00833547">
        <w:rPr>
          <w:rFonts w:ascii="Segoe UI" w:hAnsi="Segoe UI" w:cs="Segoe UI"/>
          <w:sz w:val="24"/>
          <w:szCs w:val="24"/>
        </w:rPr>
        <w:t>.</w:t>
      </w:r>
      <w:r w:rsidR="003A60BA" w:rsidRPr="00833547">
        <w:rPr>
          <w:rFonts w:ascii="Segoe UI" w:hAnsi="Segoe UI" w:cs="Segoe UI"/>
        </w:rPr>
        <w:t xml:space="preserve"> </w:t>
      </w:r>
      <w:r w:rsidR="003A60BA" w:rsidRPr="00833547">
        <w:rPr>
          <w:rFonts w:ascii="Segoe UI" w:hAnsi="Segoe UI" w:cs="Segoe UI"/>
          <w:sz w:val="24"/>
          <w:szCs w:val="24"/>
        </w:rPr>
        <w:t xml:space="preserve">One thing about collecting works of art is the need for sensory stimulants, and the other thing is that collecting works of art may be assumed to be an individual's interest in object aspects that aim exclusively for pleasure </w:t>
      </w:r>
      <w:r w:rsidR="003A60BA"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{"citationItems":[{"id":"ITEM-1","itemData":{"DOI":"10.1080/01973762.2011.542350","ISSN":"01973762","abstract":"Lady Charlotte Schreiber's (1812-1895) impassioned collecting of porcelain, fans, and playing cards defies conventional analysis. A clue to her motivations is embedded in her lonely childhood when she collected playbills to facilitate her fantasies of escape. Psychiatrists maintain that playing with objects alleviates anxiety and pain, and when continued beyond childhood, it stimulates creativity and the development of a well-integrated personality. A theory of collecting-as-play offers an insight into the psychology of individuals whose motivations are otherwise inscrutable. Lady Charlotte's pattern of collecting assumed many different aspects of playing, ranging from an elemental attraction to transitional objects as soothing pacifiers, to a desire for sensual stimulants during her marriage with her younger second husband, to a transformation of the gendered notion of cultural property on a national level. © 2011 Taylor &amp; Francis.","author":[{"dropping-particle":"","family":"Macleod","given":"Dianne Sachko","non-dropping-particle":"","parse-names":false,"suffix":""}],"container-title":"Visual Resources","id":"ITEM-1","issue":"1","issued":{"date-parts":[["2011"]]},"page":"18-31","title":"Art collecting as play: Lady Charlotte Schreiber (1812-1895)","type":"article-journal","volume":"27"},"uris":["http://www.mendeley.com/documents/?uuid=6a9c6282-3239-4be1-92d6-3420d09ea873"]}],"mendeley":{"formattedCitation":"(Macleod, 2011)","plainTextFormattedCitation":"(Macleod, 2011)","previouslyFormattedCitation":"(Macleod, 2011)"},"properties":{"noteIndex":0},"schema":"https://github.com/citation-style-language/schema/raw/master/csl-citation.json"}</w:instrText>
      </w:r>
      <w:r w:rsidR="003A60BA" w:rsidRPr="00833547">
        <w:rPr>
          <w:rFonts w:ascii="Segoe UI" w:hAnsi="Segoe UI" w:cs="Segoe UI"/>
          <w:sz w:val="24"/>
          <w:szCs w:val="24"/>
        </w:rPr>
        <w:fldChar w:fldCharType="separate"/>
      </w:r>
      <w:r w:rsidR="003A60BA" w:rsidRPr="00833547">
        <w:rPr>
          <w:rFonts w:ascii="Segoe UI" w:hAnsi="Segoe UI" w:cs="Segoe UI"/>
          <w:noProof/>
          <w:sz w:val="24"/>
          <w:szCs w:val="24"/>
        </w:rPr>
        <w:t>(Macleod, 2011)</w:t>
      </w:r>
      <w:r w:rsidR="003A60BA" w:rsidRPr="00833547">
        <w:rPr>
          <w:rFonts w:ascii="Segoe UI" w:hAnsi="Segoe UI" w:cs="Segoe UI"/>
          <w:sz w:val="24"/>
          <w:szCs w:val="24"/>
        </w:rPr>
        <w:fldChar w:fldCharType="end"/>
      </w:r>
      <w:r w:rsidR="003A60BA" w:rsidRPr="00833547">
        <w:rPr>
          <w:rFonts w:ascii="Segoe UI" w:hAnsi="Segoe UI" w:cs="Segoe UI"/>
          <w:sz w:val="24"/>
          <w:szCs w:val="24"/>
        </w:rPr>
        <w:t xml:space="preserve">. Historical value, workplace design, sponsorship, and varied investment are some variables that affect art collections </w:t>
      </w:r>
      <w:r w:rsidR="003A60BA"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{"citationItems":[{"id":"ITEM-1","itemData":{"ISSN":"14808986","abstract":"The reasons why organizations sponsor artistic and cultural events have attracted much scholarly attention. However, the subject of why organizations create and develop their own collections has been under-investigated. This is especially striking in the financial sector, where several companies are well known for their substantial art collections. This article addresses two distinct aspects: why financial institutions in Belgium have begun to create their own art collections and how they have gone about developing them, and the categorization of actors according to their acquisition policies and their managerial objectives.","author":[{"dropping-particle":"","family":"Lindenberg","given":"Morgane","non-dropping-particle":"","parse-names":false,"suffix":""},{"dropping-particle":"","family":"Oosterlinck","given":"Kim","non-dropping-particle":"","parse-names":false,"suffix":""}],"container-title":"International Journal of Arts Management","id":"ITEM-1","issue":"3","issued":{"date-parts":[["2011"]]},"page":"4-19","title":"Art collections as a strategy tool: A typology based on the Belgian financial sector","type":"article-journal","volume":"13"},"uris":["http://www.mendeley.com/documents/?uuid=79d13bf6-3f61-413d-a85c-4a1f01dcb9d5"]}],"mendeley":{"formattedCitation":"(Lindenberg &amp; Oosterlinck, 2011)","plainTextFormattedCitation":"(Lindenberg &amp; Oosterlinck, 2011)","previouslyFormattedCitation":"(Lindenberg &amp; Oosterlinck, 2011)"},"properties":{"noteIndex":0},"schema":"https://github.com/citation-style-language/schema/raw/master/csl-citation.json"}</w:instrText>
      </w:r>
      <w:r w:rsidR="003A60BA" w:rsidRPr="00833547">
        <w:rPr>
          <w:rFonts w:ascii="Segoe UI" w:hAnsi="Segoe UI" w:cs="Segoe UI"/>
          <w:sz w:val="24"/>
          <w:szCs w:val="24"/>
        </w:rPr>
        <w:fldChar w:fldCharType="separate"/>
      </w:r>
      <w:r w:rsidR="003A60BA" w:rsidRPr="00833547">
        <w:rPr>
          <w:rFonts w:ascii="Segoe UI" w:hAnsi="Segoe UI" w:cs="Segoe UI"/>
          <w:noProof/>
          <w:sz w:val="24"/>
          <w:szCs w:val="24"/>
        </w:rPr>
        <w:t>(Lindenberg &amp; Oosterlinck, 2011)</w:t>
      </w:r>
      <w:r w:rsidR="003A60BA" w:rsidRPr="00833547">
        <w:rPr>
          <w:rFonts w:ascii="Segoe UI" w:hAnsi="Segoe UI" w:cs="Segoe UI"/>
          <w:sz w:val="24"/>
          <w:szCs w:val="24"/>
        </w:rPr>
        <w:fldChar w:fldCharType="end"/>
      </w:r>
      <w:r w:rsidR="003A60BA" w:rsidRPr="00833547">
        <w:rPr>
          <w:rFonts w:ascii="Segoe UI" w:hAnsi="Segoe UI" w:cs="Segoe UI"/>
          <w:sz w:val="24"/>
          <w:szCs w:val="24"/>
        </w:rPr>
        <w:t>.</w:t>
      </w:r>
    </w:p>
    <w:p w:rsidR="00D016E4" w:rsidRPr="00833547" w:rsidRDefault="003A60BA" w:rsidP="003A60BA">
      <w:pPr>
        <w:spacing w:after="160" w:line="259" w:lineRule="auto"/>
        <w:jc w:val="both"/>
        <w:rPr>
          <w:rFonts w:ascii="Segoe UI" w:hAnsi="Segoe UI" w:cs="Segoe UI"/>
          <w:sz w:val="24"/>
          <w:szCs w:val="24"/>
        </w:rPr>
      </w:pPr>
      <w:r w:rsidRPr="00833547">
        <w:rPr>
          <w:rFonts w:ascii="Segoe UI" w:hAnsi="Segoe UI" w:cs="Segoe UI"/>
          <w:sz w:val="24"/>
          <w:szCs w:val="24"/>
        </w:rPr>
        <w:t>Collections of art are referred to as art collections</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{"citationItems":[{"id":"ITEM-1","itemData":{"DOI":"10.1093/jcr/ucac016","ISSN":"0093-5301","abstract":"When consumers shop in luxury boutiques, high-end shopping malls, and even online, they increasingly encounter luxury products alongside immersive art displays. Exploring this novel phenomenon with both field studies and lab experiments, the current research shows that experiencing art reduces consumer desire for luxury goods. Three boundary conditions have been identified. The effect does not materialize in contexts in which the work of art is not experienced as art per se, such as when the work of art appears as decoration on the product or packaging or is processed analytically rather than naturally, and when luxury goods are not seen as status goods. We propose that experiencing art induces a mental state of self-transcendence, which undermines consumers’ status-seeking motive and consequently decreases their desire for luxury goods. This research contributes to the literature on consumer esthetics and has important practical applications for luxury businesses.","author":[{"dropping-particle":"","family":"Wang","given":"Yajin","non-dropping-particle":"","parse-names":false,"suffix":""},{"dropping-particle":"","family":"Xu","given":"Alison Jing","non-dropping-particle":"","parse-names":false,"suffix":""},{"dropping-particle":"","family":"Zhang","given":"Ying","non-dropping-particle":"","parse-names":false,"suffix":""}],"container-title":"Journal of Consumer Research","id":"ITEM-1","issued":{"date-parts":[["2022"]]},"title":" L’Art Pour l’Art: Experiencing Art Reduces the Desire for Luxury Goods ","type":"article-journal","volume":"00"},"uris":["http://www.mendeley.com/documents/?uuid=a4fd9aee-90af-43bb-a5ba-2e27af8494db","http://www.mendeley.com/documents/?uuid=89e8e4ae-da16-4ed8-85e3-505a12457dfa"]}],"mendeley":{"formattedCitation":"(Y. Wang et al., 2022)","plainTextFormattedCitation":"(Y. Wang et al., 2022)","previouslyFormattedCitation":"(Y. Wang et al., 2022)"},"properties":{"noteIndex":0},"schema":"https://github.com/citation-style-language/schema/raw/master/csl-citation.json"}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(Y. Wang et al., 2022)</w:t>
      </w:r>
      <w:r w:rsidRPr="00833547">
        <w:rPr>
          <w:rFonts w:ascii="Segoe UI" w:hAnsi="Segoe UI" w:cs="Segoe UI"/>
          <w:sz w:val="24"/>
          <w:szCs w:val="24"/>
        </w:rPr>
        <w:fldChar w:fldCharType="end"/>
      </w:r>
      <w:r w:rsidRPr="00833547">
        <w:rPr>
          <w:rFonts w:ascii="Segoe UI" w:hAnsi="Segoe UI" w:cs="Segoe UI"/>
          <w:sz w:val="24"/>
          <w:szCs w:val="24"/>
        </w:rPr>
        <w:t>. Visitors' curiosity about an art gallery's collection will pique their desire in going there</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{"citationItems":[{"id":"ITEM-1","itemData":{"DOI":"10.1016/j.tourman.2009.05.011","ISSN":"02615177","abstract":"This paper aims to explore determinants of brand equity for cultural activities from the perspective of internal as well as external visitors. Our analysis advocates four elements for brand equity in artistic and cultural activities (loyalty, brand image, perceived quality and brand values) and assesses them for the case of an itinerant art exhibition staged over the past twenty years in a region of Spain. Building on extensive literature, a model of the relationship is developed and empirically tested using survey data collected from 406 visitors. Data are analysed through Partial Least Squares. Findings suggest that external visitors attach greater importance to brand image as a determinant of value than do internal visitors, whereas for the latter brand values are the main source of value. © 2009 Elsevier Ltd. All rights reserved.","author":[{"dropping-particle":"","family":"Camarero","given":"Carmen","non-dropping-particle":"","parse-names":false,"suffix":""},{"dropping-particle":"","family":"Garrido","given":"María José","non-dropping-particle":"","parse-names":false,"suffix":""},{"dropping-particle":"","family":"Vicente","given":"Eva","non-dropping-particle":"","parse-names":false,"suffix":""}],"container-title":"Tourism Management","id":"ITEM-1","issue":"4","issued":{"date-parts":[["2010"]]},"page":"495-504","title":"Components of art exhibition brand equity for internal and external visitors","type":"article-journal","volume":"31"},"uris":["http://www.mendeley.com/documents/?uuid=40d4656e-8cea-44cb-b532-339f685c81ea","http://www.mendeley.com/documents/?uuid=3aea1b73-6285-46ce-9420-d5cf3c0a1da6"]}],"mendeley":{"formattedCitation":"(Camarero et al., 2010)","plainTextFormattedCitation":"(Camarero et al., 2010)","previouslyFormattedCitation":"(Camarero et al., 2010)"},"properties":{"noteIndex":0},"schema":"https://github.com/citation-style-language/schema/raw/master/csl-citation.json"}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(Camarero et al., 2010)</w:t>
      </w:r>
      <w:r w:rsidRPr="00833547">
        <w:rPr>
          <w:rFonts w:ascii="Segoe UI" w:hAnsi="Segoe UI" w:cs="Segoe UI"/>
          <w:sz w:val="24"/>
          <w:szCs w:val="24"/>
        </w:rPr>
        <w:fldChar w:fldCharType="end"/>
      </w:r>
      <w:r w:rsidRPr="00833547">
        <w:rPr>
          <w:rFonts w:ascii="Segoe UI" w:hAnsi="Segoe UI" w:cs="Segoe UI"/>
          <w:sz w:val="24"/>
          <w:szCs w:val="24"/>
        </w:rPr>
        <w:t>,  Visitors choose to go to the gallery because they enjoy the art collection there</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{"citationItems":[{"id":"ITEM-1","itemData":{"ISSN":"2443-2121","abstract":"Bale Seni Barli-Kota Baru Parahyangan is one tourist attraction (DTW) art which is located in Kota Baru Parahyangan, Padalarang. Number of tourists visiting Bale Seni Barli-Kota Baru Parahyangan from year to year has increased, but did not meet the expected targets visit the manager. Building a strong Brand Positioning able to provide a reference for tourists in choosing DTW to be addressed which can then influence the decision of tourists to visit a DTW. Therefore Bale Seni Barli-Kota Baru Parahyangan trying to build a strategy Brand Positioning Fun, Art and Education in order to position itself as DTW which offers attractions and tourist activity-laden art education but still fun for tourists. This study aims to find out about how much influence the Brand Positioning Fun, Art and Education against the decision of visiting tourists in Bale Seni Barli-Kota Baru Parahyangan. In this study, the independent variable (X) is the Brand Positioning and the dependent variable was the decision to visit, with a sample of 100 respondents, data collection techniques using a questionnaire (questionnaire), interviews, documentary studies and literature studies, while data analysis techniques using simple regression. The results showed that the influence strategy Brand Positioning Fun, Art and Education on the decision been run Bale Seni Barli-Kota Baru Parahyangan have a strong influence, which amounted to 83%. This shows that when Brand Positioning Fun, Art and Education implemented properly, then the decision to tourists visiting Bale Seni Barli-Kota Baru Parahyangan will increase.","author":[{"dropping-particle":"","family":"Octaviany","given":"Vany","non-dropping-particle":"","parse-names":false,"suffix":""},{"dropping-particle":"","family":"Shiddiq","given":"Muhammad Asyari","non-dropping-particle":"","parse-names":false,"suffix":""}],"container-title":"Jurnal Ekonomi, Bisnis dan Entrepreneurship","id":"ITEM-1","issue":"2","issued":{"date-parts":[["2015"]]},"page":"68-79","title":"The Influence Of Brand Positioning Fun, Art And Education Bale Seni Barli-Kota Baru Parahyangan Toward Visit Decision In Bale Seni Barli-Kota Baru Parahyangan","type":"article-journal","volume":"9"},"uris":["http://www.mendeley.com/documents/?uuid=f09bca0b-909f-46dc-a17b-57cc5f0b7aa7","http://www.mendeley.com/documents/?uuid=d6b49a80-f0f2-4ad9-8bd8-0c004bc6c491"]}],"mendeley":{"formattedCitation":"(Octaviany &amp; Shiddiq, 2015)","plainTextFormattedCitation":"(Octaviany &amp; Shiddiq, 2015)","previouslyFormattedCitation":"(Octaviany &amp; Shiddiq, 2015)"},"properties":{"noteIndex":0},"schema":"https://github.com/citation-style-language/schema/raw/master/csl-citation.json"}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(Octaviany &amp; Shiddiq, 2015)</w:t>
      </w:r>
      <w:r w:rsidRPr="00833547">
        <w:rPr>
          <w:rFonts w:ascii="Segoe UI" w:hAnsi="Segoe UI" w:cs="Segoe UI"/>
          <w:sz w:val="24"/>
          <w:szCs w:val="24"/>
        </w:rPr>
        <w:fldChar w:fldCharType="end"/>
      </w:r>
      <w:r w:rsidRPr="00833547">
        <w:rPr>
          <w:rFonts w:ascii="Segoe UI" w:hAnsi="Segoe UI" w:cs="Segoe UI"/>
          <w:sz w:val="24"/>
          <w:szCs w:val="24"/>
        </w:rPr>
        <w:t xml:space="preserve">, and can encourage visitors who are satisfied with their stay to consider coming again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{"citationItems":[{"id":"ITEM-1","itemData":{"DOI":"10.1016/j.culher.2011.08.003","ISSN":"12962074","abstract":"This paper analyses the different factors influencing the intention to revisit a cultural attraction with an application to the Museum for Modern and Contemporary Art (MART) in Rovereto, Italy. The empirical data were obtained from a survey undertaken in 2009 and a zero-truncated count data model is estimated. The findings reveal that sociodemographic characteristics positively influence the probability to return to the museum. Also, as reported in other studies, the temporary exhibitions offered by the museum have a significant impact with an incidence rate ratio almost twice as high. No matter how much visitors spend on accommodation, they are less likely to revisit if they travel in groups, by train or on foot, are far from their town of origin and have spent a long time visiting the museum. © 2011 Elsevier Masson SAS.","author":[{"dropping-particle":"","family":"Brida","given":"Juan G.","non-dropping-particle":"","parse-names":false,"suffix":""},{"dropping-particle":"","family":"Meleddu","given":"Marta","non-dropping-particle":"","parse-names":false,"suffix":""},{"dropping-particle":"","family":"Pulina","given":"Manuela","non-dropping-particle":"","parse-names":false,"suffix":""}],"container-title":"Journal of Cultural Heritage","id":"ITEM-1","issue":"2","issued":{"date-parts":[["2012"]]},"page":"167-174","title":"Factors influencing the intention to revisit a cultural attraction: The case study of the Museum of Modern and Contemporary Art in Rovereto","type":"article-journal","volume":"13"},"uris":["http://www.mendeley.com/documents/?uuid=0a70083b-232d-4dc3-939d-6f39614b7e71","http://www.mendeley.com/documents/?uuid=9ca004a5-30e5-4a80-8997-ebbba6cc41a7"]}],"mendeley":{"formattedCitation":"(Brida et al., 2012)","plainTextFormattedCitation":"(Brida et al., 2012)","previouslyFormattedCitation":"(Brida et al., 2012)"},"properties":{"noteIndex":0},"schema":"https://github.com/citation-style-language/schema/raw/master/csl-citation.json"}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(Brida et al., 2012)</w:t>
      </w:r>
      <w:r w:rsidRPr="00833547">
        <w:rPr>
          <w:rFonts w:ascii="Segoe UI" w:hAnsi="Segoe UI" w:cs="Segoe UI"/>
          <w:sz w:val="24"/>
          <w:szCs w:val="24"/>
        </w:rPr>
        <w:fldChar w:fldCharType="end"/>
      </w:r>
      <w:r w:rsidRPr="00833547">
        <w:rPr>
          <w:rFonts w:ascii="Segoe UI" w:hAnsi="Segoe UI" w:cs="Segoe UI"/>
          <w:sz w:val="24"/>
          <w:szCs w:val="24"/>
        </w:rPr>
        <w:t xml:space="preserve">. Interest in visiting refers to a customer's desire to go somewhere combined with the attitudes and preferences of others who can affect that consumer's </w:t>
      </w:r>
      <w:r w:rsidRPr="00833547">
        <w:rPr>
          <w:rFonts w:ascii="Segoe UI" w:hAnsi="Segoe UI" w:cs="Segoe UI"/>
          <w:sz w:val="24"/>
          <w:szCs w:val="24"/>
        </w:rPr>
        <w:lastRenderedPageBreak/>
        <w:t>desire to go there</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{"citationItems":[{"id":"ITEM-1","itemData":{"DOI":"10.1016/j.annals.2004.01.010","ISSN":"01607383","abstract":"The aim of this paper is to develop and empirically validate a model which explains the different factors which form the post-visit image of a destination. Based on a literature review, this will involve analyzing the relationship between the different components of the perceived image and the factors which influence its formation. These include both sources of information (primary and secondary) and stimuli influencing the forming of perceptions and evaluations of destinations pre- and post-visit, respectively, and motivation, accumulated touristic experiences and sociodemographic characteristics. © 2004 Elsevier Ltd. All rights reserved.","author":[{"dropping-particle":"","family":"Beerli","given":"Asunciòn","non-dropping-particle":"","parse-names":false,"suffix":""},{"dropping-particle":"","family":"Martín","given":"Josefa D.","non-dropping-particle":"","parse-names":false,"suffix":""}],"container-title":"Annals of Tourism Research","id":"ITEM-1","issue":"3","issued":{"date-parts":[["2004"]]},"page":"657-681","title":"Factors influencing destination image","type":"article-journal","volume":"31"},"uris":["http://www.mendeley.com/documents/?uuid=5d338347-1371-48a2-8ef8-25d9f54ef688","http://www.mendeley.com/documents/?uuid=8ec03076-edd4-4d50-9387-68bdaaf7c5a5"]},{"id":"ITEM-2","itemData":{"DOI":"10.1016/j.iedeen.2020.100135","ISSN":"24448834","abstract":"TV series have become one of the most successful types of audio-visual product. Their potential to cultivate massive loyal audiences makes them an excellent medium for promoting the places they depict, presenting them as attractive destinations, and inducing the phenomenon known as film tourism. The present study aims to shed light on the determinants behind viewers’ decisions to visit a destination they have seen in a TV series. More specifically, two aspects acknowledged as antecedents of travel decisions were considered: destination awareness and visit motivation. To this end, quantitative questionnaires were carried out with domestic tourists during their visits to destinations depicted in Spanish TV series. The collected data was analysed through tests of independence and a binary logistic regression, in which the respondents’ sociodemographic characteristics were used as control variables. The results corroborate that both factors significantly influence the decision to visit film destinations, whereas the effect of destination awareness is stronger.","author":[{"dropping-particle":"","family":"Araújo Vila","given":"Noelia","non-dropping-particle":"","parse-names":false,"suffix":""},{"dropping-particle":"","family":"Fraiz Brea","given":"José Antonio","non-dropping-particle":"","parse-names":false,"suffix":""},{"dropping-particle":"","family":"Carlos","given":"Pablo","non-dropping-particle":"de","parse-names":false,"suffix":""}],"container-title":"European Research on Management and Business Economics","id":"ITEM-2","issue":"1","issued":{"date-parts":[["2021"]]},"page":"100135","publisher":"The Author(s)","title":"Film tourism in Spain: Destination awareness and visit motivation as determinants to visit places seen in TV series","type":"article-journal","volume":"27"},"uris":["http://www.mendeley.com/documents/?uuid=e32188dc-9fb3-4dbe-ac35-3b950960fdf2","http://www.mendeley.com/documents/?uuid=3e45986c-e82f-4d8c-a98d-d9633a748f98"]},{"id":"ITEM-3","itemData":{"DOI":"10.1108/03090560310495456","ISBN":"0887604021","ISSN":"0309-0566","abstract":"This paper develops a general service sector model of repurchase intention from the consumer theory literature. A key contribution of the structural equation model is the incorporation of customer perceptions of equity and value and customer brand preference into an integrated repurchase intention analysis. The model describes the extent to which customer repurchase intention is influenced by seven important factors – service quality, equity and value, customer satisfaction, past loyalty, expected switching cost and brand preference. The general model is applied to customers of comprehensive car insurance and personal superannuation services. The analysis finds that although perceived quality does not directly affect customer satisfaction, it does so indirectly via customer equity and value perceptions. The study also finds that past purchase loyalty is not directly related to customer satisfaction or current brand preference and that brand preference is an intervening factor between customer satisfaction and repurchase intention. The main factor influencing brand preference was perceived value with customer satisfaction and expected switching cost having less influence.","author":[{"dropping-particle":"","family":"Hellier","given":"Phillip K.","non-dropping-particle":"","parse-names":false,"suffix":""},{"dropping-particle":"","family":"Geursen","given":"Gus M.","non-dropping-particle":"","parse-names":false,"suffix":""},{"dropping-particle":"","family":"Carr","given":"Rodney A.","non-dropping-particle":"","parse-names":false,"suffix":""},{"dropping-particle":"","family":"Rickard","given":"John A.","non-dropping-particle":"","parse-names":false,"suffix":""}],"container-title":"European Journal of Marketing","id":"ITEM-3","issue":"11/12","issued":{"date-parts":[["2003"]]},"number-of-pages":"1762-1800","title":"Customer repurchase intention","type":"book","volume":"37"},"uris":["http://www.mendeley.com/documents/?uuid=5a289999-c20f-43a9-995d-ba97267e8891","http://www.mendeley.com/documents/?uuid=624d3169-b5aa-411c-b3ed-e7cd6fb8dd2e"]}],"mendeley":{"formattedCitation":"(Araújo Vila et al., 2021; Beerli &amp; Martín, 2004; Hellier et al., 2003)","plainTextFormattedCitation":"(Araújo Vila et al., 2021; Beerli &amp; Martín, 2004; Hellier et al., 2003)","previouslyFormattedCitation":"(Araújo Vila et al., 2021; Beerli &amp; Martín, 2004; Hellier et al., 2003)"},"properties":{"noteIndex":0},"schema":"https://github.com/citation-style-language/schema/raw/master/csl-citation.json"}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(Araújo Vila et al., 2021; Beerli &amp; Martín, 2004; Hellier et al., 2003)</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w:t>
      </w:r>
      <w:r w:rsidRPr="00833547">
        <w:rPr>
          <w:rFonts w:ascii="Segoe UI" w:hAnsi="Segoe UI" w:cs="Segoe UI"/>
          <w:sz w:val="24"/>
          <w:szCs w:val="24"/>
        </w:rPr>
        <w:t xml:space="preserve">The desire to return visitors is significantly influenced by lifestyle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{"citationItems":[{"id":"ITEM-1","itemData":{"ISSN":"2303-1174","abstract":"The growth of coffee house in Manado motivate the owner of Decade Coffee Shop to open a coffee shop that offers a calm and comfortable for the gathering of consumers with friends or relatives or just want to relax enjoying coffee. Revisit intention is described as the willingness of customer to come back to the same place or probability of them to repurchase a product from the same place. Revisit intention can be affected by so many factors, include lifestyle, servicescape, and food quality. The purpose of this study is to know the simultaneous and partial influence of lifestyle, servicescape, and food quality on customer revisit intention at Decade Coffee Shop. This research used multiple regression analysis with sample of 100 respondents. The result shows that lifestyle, servicescape, and food quality are simultaneously influence customer revisit intention. Servicescape and food quality have significant influence on customer revisit intention partially, meanwhile lifestyle has not have a significant influence on customer revisit intention. Based on the result, researcher suggest that the place should be always clean, well arranged, and have a good atmosphere to retaining the customers. The owner should keep their employees current performance like give a bonus or other reward that can be motivate the employee to work harder because it shows that they already done their job well by serving a delicious and well-presentation food for the customers. The last, Decade Coffee Shop should think about how to attract and drive the customers to spend their free time at Coffee Shop.","author":[{"dropping-particle":"","family":"Therok","given":"F A","non-dropping-particle":"","parse-names":false,"suffix":""},{"dropping-particle":"","family":"Saerang","given":"D P E","non-dropping-particle":"","parse-names":false,"suffix":""},{"dropping-particle":"","family":"Wangke","given":"S J C","non-dropping-particle":"","parse-names":false,"suffix":""},{"dropping-particle":"","family":"Therok","given":"Francisca A","non-dropping-particle":"","parse-names":false,"suffix":""},{"dropping-particle":"","family":"Saerang","given":"David P E","non-dropping-particle":"","parse-names":false,"suffix":""},{"dropping-particle":"","family":"Wangke","given":"Shinta J C","non-dropping-particle":"","parse-names":false,"suffix":""}],"container-title":"Jurnal EMBA","id":"ITEM-1","issue":"3","issued":{"date-parts":[["2021"]]},"page":"1423-1432","title":"the Influence of Lifestyle, Servicescape, and Food Quality on Customer Revisit Intention At Decade Coffee Shop","type":"article-journal","volume":"9"},"uris":["http://www.mendeley.com/documents/?uuid=0e4722e2-77bf-437e-bdd6-79e3519fbedc","http://www.mendeley.com/documents/?uuid=7c1b70d2-461e-44b7-9fd3-003431ae2cf8"]},{"id":"ITEM-2","itemData":{"DOI":"10.1016/j.iedeen.2021.100155","ISSN":"24448834","abstract":"Several research attempts contributed to the literature related to lifestyle market segmentation mainly aimed to define lifestyle segments on a given product/service market in a positivist perspective. However, there is a lack of research interest on a normative perspective, questioning lifestyle segmentation effectiveness to have a guidance for brands regarding how it impacts brand purchase intention in different product types and consumer groups in comparison to brand perceived value. Therefore, this research purposes to define a formulation understanding the impact of lifestyle segmentation on purchase intention in relation to brand perceived value. After defining lifestyle segments of four different product category consumers using an AIO scale approach; the relationships through lifestyle, brand value perception and purchase intention were analysed empirically by using multiple analysis methods for selected product categories. As a result, the lifestyle segmentation couldn't be defined as the main and direct driver of brand purchase intention while consumer's perceived values which are affected by lifestyle significantly impact the purchase intention and this value mapping varies across product categories.","author":[{"dropping-particle":"","family":"Akkaya","given":"Murat","non-dropping-particle":"","parse-names":false,"suffix":""}],"container-title":"European Research on Management and Business Economics","id":"ITEM-2","issue":"3","issued":{"date-parts":[["2021"]]},"page":"100155","publisher":"Elsevier Espana, S.L.","title":"Understanding the impacts of lifestyle segmentation &amp; perceived value on brand purchase intention: An empirical study in different product categories","type":"article-journal","volume":"27"},"uris":["http://www.mendeley.com/documents/?uuid=ff145615-90b5-4443-a839-2eb9193c31e9","http://www.mendeley.com/documents/?uuid=5855f253-904a-4150-b6f1-c06c2c741c49"]}],"mendeley":{"formattedCitation":"(Akkaya, 2021; Therok et al., 2021)"},"properties":{"noteIndex":0},"schema":"https://github.com/citation-style-language/schema/raw/master/csl-citation.json"}</w:instrText>
      </w:r>
      <w:r w:rsidRPr="00833547">
        <w:rPr>
          <w:rFonts w:ascii="Segoe UI" w:hAnsi="Segoe UI" w:cs="Segoe UI"/>
          <w:sz w:val="24"/>
          <w:szCs w:val="24"/>
        </w:rPr>
        <w:fldChar w:fldCharType="separate"/>
      </w:r>
      <w:r w:rsidR="00CC2B47" w:rsidRPr="00CC2B47">
        <w:rPr>
          <w:rFonts w:ascii="Segoe UI" w:hAnsi="Segoe UI" w:cs="Segoe UI"/>
          <w:noProof/>
          <w:sz w:val="24"/>
          <w:szCs w:val="24"/>
        </w:rPr>
        <w:t>(Akkaya, 2021; Therok et al., 2021)</w:t>
      </w:r>
      <w:r w:rsidRPr="00833547">
        <w:rPr>
          <w:rFonts w:ascii="Segoe UI" w:hAnsi="Segoe UI" w:cs="Segoe UI"/>
          <w:sz w:val="24"/>
          <w:szCs w:val="24"/>
        </w:rPr>
        <w:fldChar w:fldCharType="end"/>
      </w:r>
      <w:r w:rsidRPr="00833547">
        <w:rPr>
          <w:rFonts w:ascii="Segoe UI" w:hAnsi="Segoe UI" w:cs="Segoe UI"/>
          <w:sz w:val="24"/>
          <w:szCs w:val="24"/>
          <w:lang w:val="en-US"/>
        </w:rPr>
        <w:t>.</w:t>
      </w:r>
    </w:p>
    <w:p w:rsidR="00D016E4" w:rsidRDefault="00D016E4" w:rsidP="00D016E4">
      <w:pPr>
        <w:spacing w:line="259" w:lineRule="auto"/>
        <w:rPr>
          <w:sz w:val="24"/>
          <w:szCs w:val="24"/>
        </w:rPr>
      </w:pPr>
      <w:r>
        <w:rPr>
          <w:b/>
          <w:sz w:val="24"/>
          <w:szCs w:val="24"/>
        </w:rPr>
        <w:t xml:space="preserve">Hedonic </w:t>
      </w:r>
    </w:p>
    <w:p w:rsidR="003A60BA" w:rsidRPr="00833547" w:rsidRDefault="00D016E4" w:rsidP="003A60BA">
      <w:pPr>
        <w:ind w:firstLine="709"/>
        <w:jc w:val="both"/>
        <w:rPr>
          <w:rFonts w:ascii="Segoe UI" w:hAnsi="Segoe UI" w:cs="Segoe UI"/>
          <w:sz w:val="24"/>
          <w:szCs w:val="24"/>
          <w:lang w:val="en-US"/>
        </w:rPr>
      </w:pPr>
      <w:r w:rsidRPr="00833547">
        <w:rPr>
          <w:rFonts w:ascii="Segoe UI" w:hAnsi="Segoe UI" w:cs="Segoe UI"/>
          <w:sz w:val="24"/>
          <w:szCs w:val="24"/>
        </w:rPr>
        <w:tab/>
      </w:r>
      <w:r w:rsidR="003A60BA" w:rsidRPr="00833547">
        <w:rPr>
          <w:rFonts w:ascii="Segoe UI" w:hAnsi="Segoe UI" w:cs="Segoe UI"/>
          <w:sz w:val="24"/>
          <w:szCs w:val="24"/>
        </w:rPr>
        <w:t>Hedonic is the next research variable</w:t>
      </w:r>
      <w:r w:rsidR="003A60BA" w:rsidRPr="00833547">
        <w:rPr>
          <w:rFonts w:ascii="Segoe UI" w:hAnsi="Segoe UI" w:cs="Segoe UI"/>
          <w:sz w:val="24"/>
          <w:szCs w:val="24"/>
          <w:lang w:val="en-US"/>
        </w:rPr>
        <w:t xml:space="preserve">. Hedonistic behavior is characterized by a life of pleasure and a constant desire for fulfillment, such as visiting a tourist location out of pure enjoyment rather than out of need </w:t>
      </w:r>
      <w:r w:rsidR="003A60BA" w:rsidRPr="00833547">
        <w:rPr>
          <w:rFonts w:ascii="Segoe UI" w:hAnsi="Segoe UI" w:cs="Segoe UI"/>
          <w:sz w:val="24"/>
          <w:szCs w:val="24"/>
          <w:lang w:val="en-US"/>
        </w:rPr>
        <w:fldChar w:fldCharType="begin" w:fldLock="1"/>
      </w:r>
      <w:r w:rsidR="00CC2B47">
        <w:rPr>
          <w:rFonts w:ascii="Segoe UI" w:hAnsi="Segoe UI" w:cs="Segoe UI"/>
          <w:sz w:val="24"/>
          <w:szCs w:val="24"/>
          <w:lang w:val="en-US"/>
        </w:rPr>
        <w:instrText>ADDIN CSL_CITATION {"citationItems":[{"id":"ITEM-1","itemData":{"DOI":"10.1007/s11098-004-7817-y","ISSN":"00318116","abstract":"Hedonism and the desire-satisfaction theory of welfare (\"desire satisfactionism\") are typically seen as archrivals in the contest over identifying what makes one's life go best. It is surprising, then, that the most plausible form of hedonism just is the most plausible form of desire satisfactionism. How can a single theory of welfare be a version of both hedonism and desire satisfactionism? The answer lies in what pleasure is: pleasure is, in my view, the subjective satisfaction of desire. This thesis about pleasure is clarified and defended only after we proceed through the dialectics that get us to the most plausible forms of hedonism and desire satisfactionism. © Springer 2006.","author":[{"dropping-particle":"","family":"Heathwood","given":"Chris","non-dropping-particle":"","parse-names":false,"suffix":""}],"container-title":"Philosophical Studies","id":"ITEM-1","issue":"3","issued":{"date-parts":[["2006"]]},"page":"539-563","title":"Desire satisfactionism and hedonism","type":"article-journal","volume":"128"},"uris":["http://www.mendeley.com/documents/?uuid=6cfe1210-5902-4f51-8105-42a65d0bfbf3"]}],"mendeley":{"formattedCitation":"(Heathwood, 2006)","plainTextFormattedCitation":"(Heathwood, 2006)","previouslyFormattedCitation":"(Heathwood, 2006)"},"properties":{"noteIndex":0},"schema":"https://github.com/citation-style-language/schema/raw/master/csl-citation.json"}</w:instrText>
      </w:r>
      <w:r w:rsidR="003A60BA" w:rsidRPr="00833547">
        <w:rPr>
          <w:rFonts w:ascii="Segoe UI" w:hAnsi="Segoe UI" w:cs="Segoe UI"/>
          <w:sz w:val="24"/>
          <w:szCs w:val="24"/>
          <w:lang w:val="en-US"/>
        </w:rPr>
        <w:fldChar w:fldCharType="separate"/>
      </w:r>
      <w:r w:rsidR="003A60BA" w:rsidRPr="00833547">
        <w:rPr>
          <w:rFonts w:ascii="Segoe UI" w:hAnsi="Segoe UI" w:cs="Segoe UI"/>
          <w:noProof/>
          <w:sz w:val="24"/>
          <w:szCs w:val="24"/>
          <w:lang w:val="en-US"/>
        </w:rPr>
        <w:t>(Heathwood, 2006)</w:t>
      </w:r>
      <w:r w:rsidR="003A60BA" w:rsidRPr="00833547">
        <w:rPr>
          <w:rFonts w:ascii="Segoe UI" w:hAnsi="Segoe UI" w:cs="Segoe UI"/>
          <w:sz w:val="24"/>
          <w:szCs w:val="24"/>
          <w:lang w:val="en-US"/>
        </w:rPr>
        <w:fldChar w:fldCharType="end"/>
      </w:r>
      <w:r w:rsidR="003A60BA" w:rsidRPr="00833547">
        <w:rPr>
          <w:rFonts w:ascii="Segoe UI" w:hAnsi="Segoe UI" w:cs="Segoe UI"/>
          <w:sz w:val="24"/>
          <w:szCs w:val="24"/>
          <w:lang w:val="en-US"/>
        </w:rPr>
        <w:t xml:space="preserve">. It may be said that hedonic is a sensation that humans produce as a feeling of pleasure in elements of their lives, such as going on a tour that might bring pleasure but is not necessary. It is a hedonic behavior that living things possess when someone purchases or travels to a location to escape routine, forgetting issues from the day to day, or satisfy demands and pleasures </w:t>
      </w:r>
      <w:r w:rsidR="003A60BA" w:rsidRPr="00833547">
        <w:rPr>
          <w:rFonts w:ascii="Segoe UI" w:hAnsi="Segoe UI" w:cs="Segoe UI"/>
          <w:sz w:val="24"/>
          <w:szCs w:val="24"/>
          <w:lang w:val="en-US"/>
        </w:rPr>
        <w:fldChar w:fldCharType="begin" w:fldLock="1"/>
      </w:r>
      <w:r w:rsidR="00CC2B47">
        <w:rPr>
          <w:rFonts w:ascii="Segoe UI" w:hAnsi="Segoe UI" w:cs="Segoe UI"/>
          <w:sz w:val="24"/>
          <w:szCs w:val="24"/>
          <w:lang w:val="en-US"/>
        </w:rPr>
        <w:instrText>ADDIN CSL_CITATION {"citationItems":[{"id":"ITEM-1","itemData":{"DOI":"10.1509/jm.13.0521","ISSN":"15477185","abstract":"Manufacturers and online retailers are readily availing themselves of new technologies to present their merchandise using a variety of formats, including static (still image) and dynamic (video) portrayal. Building on vividness theory, the authors propose and demonstrate that presenting products and services using a dynamic visual format enhances consumer preference for hedonic options and willingness to pay for those options. The dynamic presentation format increases involvement with the product/service experience in a manner presumably similar to that of the actual product experience. The result is an increased preference for and valuation of hedonic options. This holds true for experiential and search products in single and joint evaluations and carries over to subsequent choices. Across all studies, the results demonstrate that a dynamic (relative to static) presentation format enhances choice of the hedonically superior (vs. utilitarian-superior) option by more than 79%.","author":[{"dropping-particle":"","family":"Roggeveen","given":"Anne L.","non-dropping-particle":"","parse-names":false,"suffix":""},{"dropping-particle":"","family":"Grewal","given":"Dhruv","non-dropping-particle":"","parse-names":false,"suffix":""},{"dropping-particle":"","family":"Townsend","given":"Claudia","non-dropping-particle":"","parse-names":false,"suffix":""},{"dropping-particle":"","family":"Krishnan","given":"R.","non-dropping-particle":"","parse-names":false,"suffix":""}],"container-title":"Journal of Marketing","id":"ITEM-1","issue":"6","issued":{"date-parts":[["2015"]]},"page":"34-49","title":"The impact of dynamic presentation format on consumer preferences for hedonic products and services","type":"article-journal","volume":"79"},"uris":["http://www.mendeley.com/documents/?uuid=801c4fc9-8306-451f-8a1d-656bb3f4fdc0"]}],"mendeley":{"formattedCitation":"(Roggeveen et al., 2015)","plainTextFormattedCitation":"(Roggeveen et al., 2015)","previouslyFormattedCitation":"(Roggeveen et al., 2015)"},"properties":{"noteIndex":0},"schema":"https://github.com/citation-style-language/schema/raw/master/csl-citation.json"}</w:instrText>
      </w:r>
      <w:r w:rsidR="003A60BA" w:rsidRPr="00833547">
        <w:rPr>
          <w:rFonts w:ascii="Segoe UI" w:hAnsi="Segoe UI" w:cs="Segoe UI"/>
          <w:sz w:val="24"/>
          <w:szCs w:val="24"/>
          <w:lang w:val="en-US"/>
        </w:rPr>
        <w:fldChar w:fldCharType="separate"/>
      </w:r>
      <w:r w:rsidR="003A60BA" w:rsidRPr="00833547">
        <w:rPr>
          <w:rFonts w:ascii="Segoe UI" w:hAnsi="Segoe UI" w:cs="Segoe UI"/>
          <w:noProof/>
          <w:sz w:val="24"/>
          <w:szCs w:val="24"/>
          <w:lang w:val="en-US"/>
        </w:rPr>
        <w:t>(Roggeveen et al., 2015)</w:t>
      </w:r>
      <w:r w:rsidR="003A60BA" w:rsidRPr="00833547">
        <w:rPr>
          <w:rFonts w:ascii="Segoe UI" w:hAnsi="Segoe UI" w:cs="Segoe UI"/>
          <w:sz w:val="24"/>
          <w:szCs w:val="24"/>
          <w:lang w:val="en-US"/>
        </w:rPr>
        <w:fldChar w:fldCharType="end"/>
      </w:r>
      <w:r w:rsidR="003A60BA" w:rsidRPr="00833547">
        <w:rPr>
          <w:rFonts w:ascii="Segoe UI" w:hAnsi="Segoe UI" w:cs="Segoe UI"/>
          <w:sz w:val="24"/>
          <w:szCs w:val="24"/>
          <w:lang w:val="en-US"/>
        </w:rPr>
        <w:t>.</w:t>
      </w:r>
      <w:r w:rsidR="003A60BA" w:rsidRPr="00833547">
        <w:rPr>
          <w:rFonts w:ascii="Segoe UI" w:hAnsi="Segoe UI" w:cs="Segoe UI"/>
        </w:rPr>
        <w:t xml:space="preserve"> </w:t>
      </w:r>
      <w:r w:rsidR="003A60BA" w:rsidRPr="00833547">
        <w:rPr>
          <w:rFonts w:ascii="Segoe UI" w:hAnsi="Segoe UI" w:cs="Segoe UI"/>
          <w:sz w:val="24"/>
          <w:szCs w:val="24"/>
          <w:lang w:val="en-US"/>
        </w:rPr>
        <w:t xml:space="preserve">Hedonism is the belief that human behavior is logically and purposefully intended to provide pleasure rather than misery (Crisp, 2006). In this study, the hedonic dimension, which includes roles, the best offer, and social aspects, is used to measure the hedonic component </w:t>
      </w:r>
      <w:r w:rsidR="003A60BA" w:rsidRPr="00833547">
        <w:rPr>
          <w:rFonts w:ascii="Segoe UI" w:hAnsi="Segoe UI" w:cs="Segoe UI"/>
          <w:sz w:val="24"/>
          <w:szCs w:val="24"/>
          <w:lang w:val="en-US"/>
        </w:rPr>
        <w:fldChar w:fldCharType="begin" w:fldLock="1"/>
      </w:r>
      <w:r w:rsidR="00CC2B47">
        <w:rPr>
          <w:rFonts w:ascii="Segoe UI" w:hAnsi="Segoe UI" w:cs="Segoe UI"/>
          <w:sz w:val="24"/>
          <w:szCs w:val="24"/>
          <w:lang w:val="en-US"/>
        </w:rPr>
        <w:instrText>ADDIN CSL_CITATION {"citationItems":[{"id":"ITEM-1","itemData":{"DOI":"10.46222/ajhtl.19770720.231","ISBN":"0000000179560","ISSN":"2223814X","abstract":"Digital marketing has become a mainstay for consumers to make purchases; one factor supporting it is that consumers can easily find information about the products. This research aimed to find out the influence of hedonic and utilitarianism on e-Loyalty through Trust. The population of this research is repeat guests who had reserved the hotel room more than twice. The analysis used descriptive and quantitative analysis by analyzing data using Structural Equation Modeling (SEM). The result of the research showed that Hedonic and Utilitarian have a significant influence on trust. Hedonic gives significant influence towards e-loyalty, whereas Utilitarian does not give significant influence towards e-loyalty. Finally, trust gives significant value to e-loyalty. Hedonic and Utilitarian give indirect influence to e-loyalty. Based on these findings, the writer provided critical managerial implications that the hotel should focus on the website's content to help consumers find the information quickly and make them enjoy and grow their willingness to book and stay at the hotel.","author":[{"dropping-particle":"","family":"Tuti","given":"Meylani","non-dropping-particle":"","parse-names":false,"suffix":""},{"dropping-particle":"","family":"Saputra","given":"Teguh","non-dropping-particle":"","parse-names":false,"suffix":""}],"container-title":"African Journal of Hospitality, Tourism and Leisure","id":"ITEM-1","issue":"2","issued":{"date-parts":[["2022"]]},"page":"379-393","title":"Hotel Guest’s Main Preferences in Hotel Online Booking: Pleasure or Usability","type":"article-journal","volume":"11"},"uris":["http://www.mendeley.com/documents/?uuid=363855a5-0cc3-457e-8f70-3fd78b97bcc7"]}],"mendeley":{"formattedCitation":"(Tuti &amp; Saputra, 2022)","plainTextFormattedCitation":"(Tuti &amp; Saputra, 2022)","previouslyFormattedCitation":"(Tuti &amp; Saputra, 2022)"},"properties":{"noteIndex":0},"schema":"https://github.com/citation-style-language/schema/raw/master/csl-citation.json"}</w:instrText>
      </w:r>
      <w:r w:rsidR="003A60BA" w:rsidRPr="00833547">
        <w:rPr>
          <w:rFonts w:ascii="Segoe UI" w:hAnsi="Segoe UI" w:cs="Segoe UI"/>
          <w:sz w:val="24"/>
          <w:szCs w:val="24"/>
          <w:lang w:val="en-US"/>
        </w:rPr>
        <w:fldChar w:fldCharType="separate"/>
      </w:r>
      <w:r w:rsidR="003A60BA" w:rsidRPr="00833547">
        <w:rPr>
          <w:rFonts w:ascii="Segoe UI" w:hAnsi="Segoe UI" w:cs="Segoe UI"/>
          <w:noProof/>
          <w:sz w:val="24"/>
          <w:szCs w:val="24"/>
          <w:lang w:val="en-US"/>
        </w:rPr>
        <w:t>(Tuti &amp; Saputra, 2022)</w:t>
      </w:r>
      <w:r w:rsidR="003A60BA" w:rsidRPr="00833547">
        <w:rPr>
          <w:rFonts w:ascii="Segoe UI" w:hAnsi="Segoe UI" w:cs="Segoe UI"/>
          <w:sz w:val="24"/>
          <w:szCs w:val="24"/>
          <w:lang w:val="en-US"/>
        </w:rPr>
        <w:fldChar w:fldCharType="end"/>
      </w:r>
      <w:r w:rsidR="003A60BA" w:rsidRPr="00833547">
        <w:rPr>
          <w:rFonts w:ascii="Segoe UI" w:hAnsi="Segoe UI" w:cs="Segoe UI"/>
          <w:sz w:val="24"/>
          <w:szCs w:val="24"/>
          <w:lang w:val="en-US"/>
        </w:rPr>
        <w:t>.</w:t>
      </w:r>
    </w:p>
    <w:p w:rsidR="003A60BA" w:rsidRPr="00833547" w:rsidRDefault="003A60BA" w:rsidP="003A60BA">
      <w:pPr>
        <w:spacing w:line="259" w:lineRule="auto"/>
        <w:jc w:val="both"/>
        <w:rPr>
          <w:rFonts w:ascii="Segoe UI" w:hAnsi="Segoe UI" w:cs="Segoe UI"/>
          <w:sz w:val="24"/>
          <w:szCs w:val="24"/>
        </w:rPr>
      </w:pPr>
      <w:r w:rsidRPr="00833547">
        <w:rPr>
          <w:rFonts w:ascii="Segoe UI" w:hAnsi="Segoe UI" w:cs="Segoe UI"/>
          <w:sz w:val="24"/>
          <w:szCs w:val="24"/>
        </w:rPr>
        <w:t>Tourists will be more likely to visit if they are motivated by the need for adventure, leisure, and curiosity</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{"citationItems":[{"id":"ITEM-1","itemData":{"DOI":"10.1016/j.tourman.2003.08.016","ISSN":"02615177","abstract":"This study offers an integrated approach to understanding tourist motivation and attempts to extend the theoretical and empirical evidence on the causal relationships among the push and pull motivations, satisfaction, and destination loyalty. The research model investigates the relevant relationships among the constructs by using a structural equation modeling approach. Consequently, destination managers should establish a higher tourist satisfaction level to create positive post-purchase tourist behavior, in order to improve and sustain destination competitiveness. © 2003 Elsevier Ltd. All rights reserved.","author":[{"dropping-particle":"","family":"Yoon","given":"Yooshik","non-dropping-particle":"","parse-names":false,"suffix":""},{"dropping-particle":"","family":"Uysal","given":"Muzaffer","non-dropping-particle":"","parse-names":false,"suffix":""}],"container-title":"Tourism Management","id":"ITEM-1","issue":"1","issued":{"date-parts":[["2005"]]},"page":"45-56","title":"An examination of the effects of motivation and satisfaction on destination loyalty: A structural model","type":"article-journal","volume":"26"},"uris":["http://www.mendeley.com/documents/?uuid=5791b352-bc51-4dba-90d2-8e4f0cd76d10","http://www.mendeley.com/documents/?uuid=0bd57e6f-3692-42df-b729-e513f640b3b4"]},{"id":"ITEM-2","itemData":{"DOI":"10.1080/10548408.2010.527249","ISSN":"10548408","abstract":"Built upon the tourism and marketing literature, a conceptual model depicting the relationship among tourism destination image components, satisfaction, and behavioral intentions was proposed. A conceptual model consisting of six hypotheses was empirically tested using survey data from 550 Chinese tourists who visited Zhang-Jia-Jie, a major Chinese tourism destination shown on the list of the World Natural Heritage. The empirical findings reveal that: (a) overall tourism destination is reflected by both cognitive image and affective image, and (b) overall tourism destination image has an indirect impact on behavioral intentions through satisfaction. Theoretical and managerial implications are discussed before the article concludes with limitations and directions for future research. © Taylor &amp; Francis Group, LLC.","author":[{"dropping-particle":"","family":"Wang","given":"Chun Yang","non-dropping-particle":"","parse-names":false,"suffix":""},{"dropping-particle":"","family":"Hsu","given":"Maxwell K.","non-dropping-particle":"","parse-names":false,"suffix":""}],"container-title":"Journal of Travel and Tourism Marketing","id":"ITEM-2","issue":"8","issued":{"date-parts":[["2010"]]},"page":"829-843","title":"The relationships of destination image, satisfaction, and behavioral intentions: An integrated model","type":"article-journal","volume":"27"},"uris":["http://www.mendeley.com/documents/?uuid=47fcca8f-09f1-4359-a58b-73d79f47530b","http://www.mendeley.com/documents/?uuid=c2a7b3ed-b11c-489c-842b-2c04de117428"]}],"mendeley":{"formattedCitation":"(C. Y. Wang &amp; Hsu, 2010; Yoon &amp; Uysal, 2005)","plainTextFormattedCitation":"(C. Y. Wang &amp; Hsu, 2010; Yoon &amp; Uysal, 2005)","previouslyFormattedCitation":"(C. Y. Wang &amp; Hsu, 2010; Yoon &amp; Uysal, 2005)"},"properties":{"noteIndex":0},"schema":"https://github.com/citation-style-language/schema/raw/master/csl-citation.json"}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(C. Y. Wang &amp; Hsu, 2010; Yoon &amp; Uysal, 2005)</w:t>
      </w:r>
      <w:r w:rsidRPr="00833547">
        <w:rPr>
          <w:rFonts w:ascii="Segoe UI" w:hAnsi="Segoe UI" w:cs="Segoe UI"/>
          <w:sz w:val="24"/>
          <w:szCs w:val="24"/>
        </w:rPr>
        <w:fldChar w:fldCharType="end"/>
      </w:r>
      <w:r w:rsidRPr="00833547">
        <w:rPr>
          <w:rFonts w:ascii="Segoe UI" w:hAnsi="Segoe UI" w:cs="Segoe UI"/>
          <w:sz w:val="24"/>
          <w:szCs w:val="24"/>
          <w:lang w:val="en-US"/>
        </w:rPr>
        <w:t xml:space="preserve">. </w:t>
      </w:r>
      <w:r w:rsidRPr="00833547">
        <w:rPr>
          <w:rFonts w:ascii="Segoe UI" w:hAnsi="Segoe UI" w:cs="Segoe UI"/>
          <w:sz w:val="24"/>
          <w:szCs w:val="24"/>
        </w:rPr>
        <w:t>In addition to looking for products or services to buy, purchasing selections should also result in a pleasurable experience</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{"citationItems":[{"id":"ITEM-1","itemData":{"DOI":"10.1080/21681015.2019.1655490","ISSN":"21681023","abstract":"This research is based on the consumer purchase decision-making model and O2O (Online to Offline) website features, in which we analyze the intrinsic relationship of various critical variables through data analytics. The impact of different online features includes the discount promotion and word-of-mouth on O2O conversion motives, the effects of online factors on O2O conversion motives and O2O purchase intentions. In this study, the O2O decision-making model was constructed based on the consumer purchase decision model. The case study research method was used to conduct a cross-experiment design that exam the impact of online characteristic factors and perceived risk on the consumers’ purchase intention. Analytical results reveal that under the high perceived risk, the O2O conversion motivation for word-of-mouth is significantly higher than the O2O conversion motivation for discount promotion. Based on such findings derived from this study, a number of recommendations on product/service design are offered.","author":[{"dropping-particle":"","family":"Tang","given":"Min","non-dropping-particle":"","parse-names":false,"suffix":""},{"dropping-particle":"","family":"Zhu","given":"Jing","non-dropping-particle":"","parse-names":false,"suffix":""}],"container-title":"Journal of Industrial and Production Engineering","id":"ITEM-1","issue":"6","issued":{"date-parts":[["2019"]]},"page":"371-384","publisher":"Taylor &amp; Francis","title":"Research of O2O website based consumer purchase decision-making model","type":"article-journal","volume":"36"},"uris":["http://www.mendeley.com/documents/?uuid=fbd985f1-4776-4f1a-b1f6-d29aa7757516","http://www.mendeley.com/documents/?uuid=12e95abf-2ef7-4ff8-8dfb-bd5073a44947"]},{"id":"ITEM-2","itemData":{"DOI":"10.2991/aebmr.k.200127.053","abstract":"Social media is one form of e-WOM that plays a critical role in the tourism industry. Sharing information via Instagram can lead to travel intentions and travel decisions. The purpose of this study is to investigate the effect of e-WOM on travel intention, travel decision, city image, and attitude to visit a tourism city. This research was conducted in one of the most visited cities in Indonesia, namely Bandung. This type of research was causal research and used primary data. The sampling technique used was non-probability sampling with a Purposive Sampling type. Data processing used SEM and SPSS analysis techniques. The results of this study indicated that e-WOM had a significant effect on attitude, city image, travel intention, and travel decision. The attitude variable had a significant effect on city image and travel intention. Travel intention had a significant effect on travel decisions. Nevertheless, the City image variable had no effect on travel intention.","author":[{"dropping-particle":"","family":"Gosal","given":"J.","non-dropping-particle":"","parse-names":false,"suffix":""},{"dropping-particle":"","family":"Andajani","given":"E.","non-dropping-particle":"","parse-names":false,"suffix":""},{"dropping-particle":"","family":"Rahayu","given":"S.","non-dropping-particle":"","parse-names":false,"suffix":""}],"id":"ITEM-2","issue":"Insyma","issued":{"date-parts":[["2020"]]},"page":"261-265","title":"The Effect of e-WOM on Travel Intention, Travel Decision, City Image, and Attitude to Visit a Tourism City","type":"article-journal","volume":"115"},"uris":["http://www.mendeley.com/documents/?uuid=21aae0c4-f669-4064-b351-380f3fd0a55b","http://www.mendeley.com/documents/?uuid=41c29cfb-652d-4770-880c-caf990c849fe"]}],"mendeley":{"formattedCitation":"(Gosal et al., 2020; Tang &amp; Zhu, 2019)","plainTextFormattedCitation":"(Gosal et al., 2020; Tang &amp; Zhu, 2019)","previouslyFormattedCitation":"(Gosal et al., 2020; Tang &amp; Zhu, 2019)"},"properties":{"noteIndex":0},"schema":"https://github.com/citation-style-language/schema/raw/master/csl-citation.json"}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(Gosal et al., 2020; Tang &amp; Zhu, 2019)</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w:t>
      </w:r>
      <w:r w:rsidRPr="00833547">
        <w:rPr>
          <w:rFonts w:ascii="Segoe UI" w:hAnsi="Segoe UI" w:cs="Segoe UI"/>
          <w:sz w:val="24"/>
          <w:szCs w:val="24"/>
        </w:rPr>
        <w:t>The findings of the prior study demonstrated that art significantly influenced the intention to return</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{"citationItems":[{"id":"ITEM-1","itemData":{"DOI":"10.1016/j.culher.2011.08.003","ISSN":"12962074","abstract":"This paper analyses the different factors influencing the intention to revisit a cultural attraction with an application to the Museum for Modern and Contemporary Art (MART) in Rovereto, Italy. The empirical data were obtained from a survey undertaken in 2009 and a zero-truncated count data model is estimated. The findings reveal that sociodemographic characteristics positively influence the probability to return to the museum. Also, as reported in other studies, the temporary exhibitions offered by the museum have a significant impact with an incidence rate ratio almost twice as high. No matter how much visitors spend on accommodation, they are less likely to revisit if they travel in groups, by train or on foot, are far from their town of origin and have spent a long time visiting the museum. © 2011 Elsevier Masson SAS.","author":[{"dropping-particle":"","family":"Brida","given":"Juan G.","non-dropping-particle":"","parse-names":false,"suffix":""},{"dropping-particle":"","family":"Meleddu","given":"Marta","non-dropping-particle":"","parse-names":false,"suffix":""},{"dropping-particle":"","family":"Pulina","given":"Manuela","non-dropping-particle":"","parse-names":false,"suffix":""}],"container-title":"Journal of Cultural Heritage","id":"ITEM-1","issue":"2","issued":{"date-parts":[["2012"]]},"page":"167-174","title":"Factors influencing the intention to revisit a cultural attraction: The case study of the Museum of Modern and Contemporary Art in Rovereto","type":"article-journal","volume":"13"},"uris":["http://www.mendeley.com/documents/?uuid=9ca004a5-30e5-4a80-8997-ebbba6cc41a7","http://www.mendeley.com/documents/?uuid=0a70083b-232d-4dc3-939d-6f39614b7e71"]}],"mendeley":{"formattedCitation":"(Brida et al., 2012)","plainTextFormattedCitation":"(Brida et al., 2012)","previouslyFormattedCitation":"(Brida et al., 2012)"},"properties":{"noteIndex":0},"schema":"https://github.com/citation-style-language/schema/raw/master/csl-citation.json"}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(Brida et al., 2012)</w:t>
      </w:r>
      <w:r w:rsidRPr="00833547">
        <w:rPr>
          <w:rFonts w:ascii="Segoe UI" w:hAnsi="Segoe UI" w:cs="Segoe UI"/>
          <w:sz w:val="24"/>
          <w:szCs w:val="24"/>
        </w:rPr>
        <w:fldChar w:fldCharType="end"/>
      </w:r>
      <w:r w:rsidRPr="00833547">
        <w:rPr>
          <w:rFonts w:ascii="Segoe UI" w:hAnsi="Segoe UI" w:cs="Segoe UI"/>
          <w:sz w:val="24"/>
          <w:szCs w:val="24"/>
          <w:lang w:val="en-US"/>
        </w:rPr>
        <w:t xml:space="preserve">. </w:t>
      </w:r>
      <w:r w:rsidRPr="00833547">
        <w:rPr>
          <w:rFonts w:ascii="Segoe UI" w:hAnsi="Segoe UI" w:cs="Segoe UI"/>
          <w:sz w:val="24"/>
          <w:szCs w:val="24"/>
        </w:rPr>
        <w:t>According to the findings of the prior study, hedonic factors significantly influenced visitors' choices</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{"citationItems":[{"id":"ITEM-1","itemData":{"DOI":"10.1177/0013916512454730","ISSN":"00139165","abstract":"This article aimed to demonstrate that hedonic values are important for understanding environmentally relevant beliefs, preferences, and actions, next to egoistic, altruistic, and biospheric values. In four studies, the authors found consistent support for their hypothesis that hedonic, egoistic, altruistic, and biospheric values can be distinguished empirically, suggesting that the distinction between the four types of values is not only theoretically meaningful but also recognized by individuals. Importantly, in line with the authors' expectations, hedonic values appeared to be significantly and negatively related to a range of environmentally relevant attitudes, preferences, and behaviors, even when the other values were controlled for. This suggests that it is indeed important to include hedonic values in environmental studies and that interventions aimed to promote proenvironmental actions should consider hedonic consequences of actions, as these may be important barriers for behavior change. © 2012 SAGE Publications.","author":[{"dropping-particle":"","family":"Steg","given":"Linda","non-dropping-particle":"","parse-names":false,"suffix":""},{"dropping-particle":"","family":"Perlaviciute","given":"Goda","non-dropping-particle":"","parse-names":false,"suffix":""},{"dropping-particle":"","family":"Werff","given":"Ellen","non-dropping-particle":"van der","parse-names":false,"suffix":""},{"dropping-particle":"","family":"Lurvink","given":"Judith","non-dropping-particle":"","parse-names":false,"suffix":""}],"container-title":"Environment and Behavior","id":"ITEM-1","issue":"2","issued":{"date-parts":[["2014"]]},"page":"163-192","title":"The Significance of Hedonic Values for Environmentally Relevant Attitudes, Preferences, and Actions","type":"article-journal","volume":"46"},"uris":["http://www.mendeley.com/documents/?uuid=33e76a46-3386-4457-83e6-b53e934fe3fb","http://www.mendeley.com/documents/?uuid=ce7c798f-c60a-4483-956b-75b092a6cfb4"]}],"mendeley":{"formattedCitation":"(Steg et al., 2014)","plainTextFormattedCitation":"(Steg et al., 2014)","previouslyFormattedCitation":"(Steg et al., 2014)"},"properties":{"noteIndex":0},"schema":"https://github.com/citation-style-language/schema/raw/master/csl-citation.json"}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(Steg et al., 2014)</w:t>
      </w:r>
      <w:r w:rsidRPr="00833547">
        <w:rPr>
          <w:rFonts w:ascii="Segoe UI" w:hAnsi="Segoe UI" w:cs="Segoe UI"/>
          <w:sz w:val="24"/>
          <w:szCs w:val="24"/>
        </w:rPr>
        <w:fldChar w:fldCharType="end"/>
      </w:r>
      <w:r w:rsidRPr="00833547">
        <w:rPr>
          <w:rFonts w:ascii="Segoe UI" w:hAnsi="Segoe UI" w:cs="Segoe UI"/>
          <w:sz w:val="24"/>
          <w:szCs w:val="24"/>
        </w:rPr>
        <w:t xml:space="preserve">.  </w:t>
      </w:r>
      <w:r w:rsidRPr="00833547">
        <w:rPr>
          <w:rFonts w:ascii="Segoe UI" w:hAnsi="Segoe UI" w:cs="Segoe UI"/>
          <w:sz w:val="24"/>
          <w:szCs w:val="24"/>
          <w:lang w:val="en-US"/>
        </w:rPr>
        <w:t xml:space="preserve"> This is consistent with the findings of an earlier study, which </w:t>
      </w:r>
      <w:r w:rsidRPr="00833547">
        <w:rPr>
          <w:rFonts w:ascii="Segoe UI" w:hAnsi="Segoe UI" w:cs="Segoe UI"/>
          <w:sz w:val="24"/>
          <w:szCs w:val="24"/>
          <w:lang w:val="en-US"/>
        </w:rPr>
        <w:lastRenderedPageBreak/>
        <w:t xml:space="preserve">showed that hedonists have a multi-sensory, fantasy, and emotional components that are crucial for forecasting customer pleasure, which in turn influences consumer intentions </w:t>
      </w:r>
      <w:r w:rsidRPr="00833547">
        <w:rPr>
          <w:rFonts w:ascii="Segoe UI" w:hAnsi="Segoe UI" w:cs="Segoe UI"/>
          <w:sz w:val="24"/>
          <w:szCs w:val="24"/>
          <w:lang w:val="en-US"/>
        </w:rPr>
        <w:fldChar w:fldCharType="begin" w:fldLock="1"/>
      </w:r>
      <w:r w:rsidR="00CC2B47">
        <w:rPr>
          <w:rFonts w:ascii="Segoe UI" w:hAnsi="Segoe UI" w:cs="Segoe UI"/>
          <w:sz w:val="24"/>
          <w:szCs w:val="24"/>
        </w:rPr>
        <w:instrText>ADDIN CSL_CITATION {"citationItems":[{"id":"ITEM-1","itemData":{"DOI":"10.1016/j.hitech.2012.03.005","ISSN":"10478310","abstract":"Online reservation has increased significantly in recent years. Understanding how customers behave towards this technology is considered to be important to interested parties, such as travel agencies and tourism marketing managers, in order to enable them to improve their marketing strategies, which would, in turn, allow them to retain their customers. This paper presents findings about the antecedents of e-loyalty intention towards online reservation among 288 respondents in the United Arab Emirates. The research examines the role of e-service quality, hedonic and utilitarian values, satisfaction, and subjective norms in motivating loyalty intention towards online reservation. The results show that e-service quality has a significant influence on hedonic and utilitarian values, which, in turn, affect customer satisfaction. Moreover, satisfaction and subjective norms positively affect e-loyalty intention towards online reservation. © 2012 Elsevier Inc. All rights reserved.","author":[{"dropping-particle":"","family":"Mouakket","given":"Samar","non-dropping-particle":"","parse-names":false,"suffix":""},{"dropping-particle":"","family":"Al-Hawari","given":"Mohammad Ahmad","non-dropping-particle":"","parse-names":false,"suffix":""}],"container-title":"Journal of High Technology Management Research","id":"ITEM-1","issue":"1","issued":{"date-parts":[["2012"]]},"page":"46-57","publisher":"Elsevier Inc.","title":"Examining the antecedents of e-loyalty intention in an online reservation environment","type":"article-journal","volume":"23"},"uris":["http://www.mendeley.com/documents/?uuid=3bf79f99-2231-4276-a0a4-186c825695cf"]}],"mendeley":{"formattedCitation":"(Mouakket &amp; Al-Hawari, 2012)","plainTextFormattedCitation":"(Mouakket &amp; Al-Hawari, 2012)","previouslyFormattedCitation":"(Mouakket &amp; Al-Hawari, 2012)"},"properties":{"noteIndex":0},"schema":"https://github.com/citation-style-language/schema/raw/master/csl-citation.json"}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rPr>
        <w:t>(Mouakket &amp; Al-Hawari, 2012)</w:t>
      </w:r>
      <w:r w:rsidRPr="00833547">
        <w:rPr>
          <w:rFonts w:ascii="Segoe UI" w:hAnsi="Segoe UI" w:cs="Segoe UI"/>
          <w:sz w:val="24"/>
          <w:szCs w:val="24"/>
          <w:lang w:val="en-US"/>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w:t>
      </w:r>
      <w:r w:rsidRPr="00833547">
        <w:rPr>
          <w:rFonts w:ascii="Segoe UI" w:hAnsi="Segoe UI" w:cs="Segoe UI"/>
          <w:sz w:val="24"/>
          <w:szCs w:val="24"/>
        </w:rPr>
        <w:t xml:space="preserve"> It may be established that factors such as behavior, demographics, and degree of satisfaction might affect visitors' intentions to return</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{"citationItems":[{"id":"ITEM-1","itemData":{"DOI":"10.1080/19388160.2018.1492482","ISSN":"19388179","abstract":"The impacts of gambling behavior and accommodation arrangement on the revisit intention of Chinese tourists have been largely ignored in a gambling destination. Hence, to comprehensively understand the aforementioned factors on the revisit intention of Chinese tourists to Macao, the present study adopted a three-step hierarchical regression analysis. The major findings showed that compared with the impact of customer satisfaction, gambling behavior (e.g. gambling budget) has a greater impact on the revisit intention of Chinese tourists to Macao.","author":[{"dropping-particle":"","family":"Sun","given":"Sunny","non-dropping-particle":"","parse-names":false,"suffix":""},{"dropping-particle":"","family":"Law","given":"Rob","non-dropping-particle":"","parse-names":false,"suffix":""},{"dropping-particle":"","family":"Fong","given":"Davis Ka Chio","non-dropping-particle":"","parse-names":false,"suffix":""}],"container-title":"Journal of China Tourism Research","id":"ITEM-1","issue":"3","issued":{"date-parts":[["2018"]]},"page":"296-309","publisher":"Routledge","title":"What Affects the Revisit Intention of Chinese Tourists to Macao?","type":"article-journal","volume":"14"},"uris":["http://www.mendeley.com/documents/?uuid=6166e075-75d8-4625-8023-ce43715c9f90","http://www.mendeley.com/documents/?uuid=a93cf4c2-7675-49c6-b1a9-7d55ee9fe1c2"]}],"mendeley":{"formattedCitation":"(Sun et al., 2018)","plainTextFormattedCitation":"(Sun et al., 2018)","previouslyFormattedCitation":"(Sun et al., 2018)"},"properties":{"noteIndex":0},"schema":"https://github.com/citation-style-language/schema/raw/master/csl-citation.json"}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(Sun et al., 2018)</w:t>
      </w:r>
      <w:r w:rsidRPr="00833547">
        <w:rPr>
          <w:rFonts w:ascii="Segoe UI" w:hAnsi="Segoe UI" w:cs="Segoe UI"/>
          <w:sz w:val="24"/>
          <w:szCs w:val="24"/>
        </w:rPr>
        <w:fldChar w:fldCharType="end"/>
      </w:r>
      <w:r w:rsidRPr="00833547">
        <w:rPr>
          <w:rFonts w:ascii="Segoe UI" w:hAnsi="Segoe UI" w:cs="Segoe UI"/>
          <w:sz w:val="24"/>
          <w:szCs w:val="24"/>
        </w:rPr>
        <w:t>.</w:t>
      </w:r>
    </w:p>
    <w:p w:rsidR="00C63058" w:rsidRPr="00173D33" w:rsidRDefault="00DB1AD2" w:rsidP="00D016E4">
      <w:pPr>
        <w:pStyle w:val="I-POINT"/>
      </w:pPr>
      <w:r w:rsidRPr="00173D33">
        <w:rPr>
          <w:rFonts w:eastAsia="Calibri Light"/>
        </w:rPr>
        <w:t>Research Methods</w:t>
      </w:r>
      <w:r w:rsidR="00B96C8E">
        <w:rPr>
          <w:rFonts w:eastAsia="Calibri Light"/>
        </w:rPr>
        <w:t xml:space="preserve"> </w:t>
      </w:r>
    </w:p>
    <w:p w:rsidR="00ED4C99" w:rsidRPr="004B6AF6" w:rsidRDefault="00ED4C99" w:rsidP="0028240C">
      <w:pPr>
        <w:pStyle w:val="ListParagraph"/>
        <w:numPr>
          <w:ilvl w:val="1"/>
          <w:numId w:val="1"/>
        </w:numPr>
        <w:spacing w:before="0" w:beforeAutospacing="0" w:after="200" w:afterAutospacing="0"/>
        <w:ind w:hanging="709"/>
        <w:contextualSpacing/>
        <w:jc w:val="both"/>
        <w:rPr>
          <w:rFonts w:ascii="Times New Roman" w:hAnsi="Times New Roman" w:cs="Times New Roman"/>
          <w:b/>
          <w:bCs/>
          <w:sz w:val="24"/>
          <w:szCs w:val="24"/>
        </w:rPr>
      </w:pPr>
      <w:r w:rsidRPr="004B6AF6">
        <w:rPr>
          <w:rFonts w:ascii="Times New Roman" w:hAnsi="Times New Roman" w:cs="Times New Roman"/>
          <w:b/>
          <w:bCs/>
          <w:sz w:val="24"/>
          <w:szCs w:val="24"/>
        </w:rPr>
        <w:t>Data Collection</w:t>
      </w:r>
    </w:p>
    <w:p w:rsidR="00ED4C99" w:rsidRPr="003A60BA" w:rsidRDefault="00ED4C99" w:rsidP="003A60BA">
      <w:pPr>
        <w:pStyle w:val="ListParagraph"/>
        <w:ind w:left="0" w:firstLine="709"/>
        <w:jc w:val="both"/>
        <w:rPr>
          <w:rFonts w:ascii="Times New Roman" w:hAnsi="Times New Roman" w:cs="Times New Roman"/>
          <w:sz w:val="24"/>
          <w:szCs w:val="24"/>
        </w:rPr>
      </w:pPr>
      <w:r w:rsidRPr="004B6AF6">
        <w:rPr>
          <w:rFonts w:ascii="Times New Roman" w:hAnsi="Times New Roman" w:cs="Times New Roman"/>
          <w:sz w:val="24"/>
          <w:szCs w:val="24"/>
        </w:rPr>
        <w:t>This study uses a quantitative method by conducting a direct survey of respondents to find out the responses to the statements submitted with the questionnaire. The population in this study were visitors to the National Gallery who visited from March to June 2023. In this study, the sample used was purposive sampling, namely taking respondents by determining their special characteristics according to the objectives of this study. The sample is part of the number and characteristics possessed by the population. If the population is large and the researcher will not study everything that is already in the population, for example</w:t>
      </w:r>
      <w:r>
        <w:rPr>
          <w:rFonts w:ascii="Times New Roman" w:hAnsi="Times New Roman" w:cs="Times New Roman"/>
          <w:sz w:val="24"/>
          <w:szCs w:val="24"/>
        </w:rPr>
        <w:t>,</w:t>
      </w:r>
      <w:r w:rsidRPr="004B6AF6">
        <w:rPr>
          <w:rFonts w:ascii="Times New Roman" w:hAnsi="Times New Roman" w:cs="Times New Roman"/>
          <w:sz w:val="24"/>
          <w:szCs w:val="24"/>
        </w:rPr>
        <w:t xml:space="preserve"> due to limitations with funds, manpower</w:t>
      </w:r>
      <w:r>
        <w:rPr>
          <w:rFonts w:ascii="Times New Roman" w:hAnsi="Times New Roman" w:cs="Times New Roman"/>
          <w:sz w:val="24"/>
          <w:szCs w:val="24"/>
        </w:rPr>
        <w:t>,</w:t>
      </w:r>
      <w:r w:rsidRPr="004B6AF6">
        <w:rPr>
          <w:rFonts w:ascii="Times New Roman" w:hAnsi="Times New Roman" w:cs="Times New Roman"/>
          <w:sz w:val="24"/>
          <w:szCs w:val="24"/>
        </w:rPr>
        <w:t xml:space="preserve"> and time, the researcher can use samples that have been taken from the population </w:t>
      </w:r>
      <w:r w:rsidRPr="004B6AF6">
        <w:rPr>
          <w:rFonts w:ascii="Times New Roman" w:hAnsi="Times New Roman" w:cs="Times New Roman"/>
          <w:sz w:val="24"/>
          <w:szCs w:val="24"/>
        </w:rPr>
        <w:fldChar w:fldCharType="begin" w:fldLock="1"/>
      </w:r>
      <w:r w:rsidR="00CC2B47">
        <w:rPr>
          <w:rFonts w:ascii="Times New Roman" w:hAnsi="Times New Roman" w:cs="Times New Roman"/>
          <w:sz w:val="24"/>
          <w:szCs w:val="24"/>
        </w:rPr>
        <w:instrText>ADDIN CSL_CITATION {"citationItems":[{"id":"ITEM-1","itemData":{"ISBN":"978-602-7825-66-6","author":[{"dropping-particle":"","family":"Sugiyono","given":"","non-dropping-particle":"","parse-names":false,"suffix":""}],"container-title":"Cetakan ke-6","id":"ITEM-1","issued":{"date-parts":[["2018"]]},"page":"24","publisher":"ALFABETA,cv","title":"Metode Penelitian Manajaemen","type":"chapter"},"uris":["http://www.mendeley.com/documents/?uuid=304f99a2-3f4e-449c-bdeb-4dee1765d1fb","http://www.mendeley.com/documents/?uuid=9d8199a6-059e-4155-9ff6-80b3140860ca"]}],"mendeley":{"formattedCitation":"(Sugiyono, 2018)","plainTextFormattedCitation":"(Sugiyono, 2018)","previouslyFormattedCitation":"(Sugiyono, 2018)"},"properties":{"noteIndex":0},"schema":"https://github.com/citation-style-language/schema/raw/master/csl-citation.json"}</w:instrText>
      </w:r>
      <w:r w:rsidRPr="004B6AF6">
        <w:rPr>
          <w:rFonts w:ascii="Times New Roman" w:hAnsi="Times New Roman" w:cs="Times New Roman"/>
          <w:sz w:val="24"/>
          <w:szCs w:val="24"/>
        </w:rPr>
        <w:fldChar w:fldCharType="separate"/>
      </w:r>
      <w:r w:rsidRPr="004B6AF6">
        <w:rPr>
          <w:rFonts w:ascii="Times New Roman" w:hAnsi="Times New Roman" w:cs="Times New Roman"/>
          <w:noProof/>
          <w:sz w:val="24"/>
          <w:szCs w:val="24"/>
        </w:rPr>
        <w:t>(Sugiyono, 2018)</w:t>
      </w:r>
      <w:r w:rsidRPr="004B6AF6">
        <w:rPr>
          <w:rFonts w:ascii="Times New Roman" w:hAnsi="Times New Roman" w:cs="Times New Roman"/>
          <w:sz w:val="24"/>
          <w:szCs w:val="24"/>
        </w:rPr>
        <w:fldChar w:fldCharType="end"/>
      </w:r>
      <w:r w:rsidRPr="004B6AF6">
        <w:rPr>
          <w:rFonts w:ascii="Times New Roman" w:hAnsi="Times New Roman" w:cs="Times New Roman"/>
          <w:sz w:val="24"/>
          <w:szCs w:val="24"/>
        </w:rPr>
        <w:t>. Purposive sampling is a way of finding research samples with certain considerations aimed at making the data obtained later more responsive.</w:t>
      </w:r>
    </w:p>
    <w:p w:rsidR="00ED4C99" w:rsidRPr="004B6AF6" w:rsidRDefault="00ED4C99" w:rsidP="0028240C">
      <w:pPr>
        <w:pStyle w:val="ListParagraph"/>
        <w:numPr>
          <w:ilvl w:val="1"/>
          <w:numId w:val="1"/>
        </w:numPr>
        <w:spacing w:before="0" w:beforeAutospacing="0" w:after="0" w:afterAutospacing="0"/>
        <w:ind w:hanging="709"/>
        <w:contextualSpacing/>
        <w:jc w:val="both"/>
        <w:rPr>
          <w:rFonts w:ascii="Times New Roman" w:hAnsi="Times New Roman" w:cs="Times New Roman"/>
          <w:b/>
          <w:bCs/>
          <w:sz w:val="24"/>
          <w:szCs w:val="24"/>
        </w:rPr>
      </w:pPr>
      <w:r w:rsidRPr="004B6AF6">
        <w:rPr>
          <w:rFonts w:ascii="Times New Roman" w:hAnsi="Times New Roman" w:cs="Times New Roman"/>
          <w:b/>
          <w:bCs/>
          <w:sz w:val="24"/>
          <w:szCs w:val="24"/>
        </w:rPr>
        <w:t>Measurement</w:t>
      </w:r>
    </w:p>
    <w:p w:rsidR="00C63058" w:rsidRPr="00833547" w:rsidRDefault="00ED4C99" w:rsidP="00ED4C99">
      <w:pPr>
        <w:ind w:firstLine="709"/>
        <w:jc w:val="both"/>
        <w:rPr>
          <w:rFonts w:ascii="Segoe UI" w:hAnsi="Segoe UI" w:cs="Segoe UI"/>
          <w:sz w:val="24"/>
          <w:szCs w:val="24"/>
        </w:rPr>
      </w:pPr>
      <w:r w:rsidRPr="00833547">
        <w:rPr>
          <w:rFonts w:ascii="Segoe UI" w:hAnsi="Segoe UI" w:cs="Segoe UI"/>
          <w:sz w:val="24"/>
          <w:szCs w:val="24"/>
        </w:rPr>
        <w:t>A Likert scale of 1 (strongly disagree), 2 (disagree), 3 (neutral), 4 (agree), and 5 is used for variable assessment (strongly agree). Six factors—attitudes, values, interests, activities, media usage patterns, and patterns of media consumption—are examined in the study of lifestyle</w:t>
      </w:r>
      <w:r w:rsidRPr="00833547">
        <w:rPr>
          <w:rFonts w:ascii="Segoe UI" w:eastAsia="Calibri" w:hAnsi="Segoe UI" w:cs="Segoe UI"/>
          <w:sz w:val="24"/>
        </w:rPr>
        <w:t xml:space="preserve"> </w:t>
      </w:r>
      <w:r w:rsidRPr="00833547">
        <w:rPr>
          <w:rFonts w:ascii="Segoe UI" w:eastAsia="Calibri" w:hAnsi="Segoe UI" w:cs="Segoe UI"/>
          <w:sz w:val="24"/>
          <w:lang w:val="en-US"/>
        </w:rPr>
        <w:fldChar w:fldCharType="begin" w:fldLock="1"/>
      </w:r>
      <w:r w:rsidRPr="00833547">
        <w:rPr>
          <w:rFonts w:ascii="Segoe UI" w:eastAsia="Calibri" w:hAnsi="Segoe UI" w:cs="Segoe UI"/>
          <w:sz w:val="24"/>
        </w:rPr>
        <w:instrText>ADDIN CSL_CITATION {"citationItems":[{"id":"ITEM-1","itemData":{"DOI":"10.1108/00251740910960169","ISSN":"0025-1747","author":[{"dropping-particle":"","family":"Solomon","given":"Michael","non-dropping-particle":"","parse-names":false,"suffix":""}],"container-title":"Management Decision","id":"ITEM-1","issued":{"date-parts":[["2009"]]},"title":"Consumer Behavior: Buying, Having, and Being (8th ed.)20091Michael R. Solomon. Consumer Behavior: Buying, Having, and Being (8th ed.) . Upper Saddle River, NJ: Pearson Education 2009. , ISBN: ‐13: 978‐0‐13‐515336‐9 ‐10: 0‐13‐515336‐0","type":"article-journal"},"uris":["http://www.mendeley.com/documents/?uuid=f215fb8b-44d3-465e-83ef-3686d86c9a6f","http://www.mendeley.com/documents/?uuid=d811500f-7960-4192-b3f5-63d5f522e913","http://www.mendeley.com/documents/?uuid=85f0bc8f-83cf-40c2-8e14-8395fdf88936"]}],"mendeley":{"formattedCitation":"(Solomon, 2009)","plainTextFormattedCitation":"(Solomon, 2009)","previouslyFormattedCitation":"(Solomon, 2009)"},"properties":{"noteIndex":0},"schema":"https://github.com/citation-style-language/schema/raw/master/csl-citation.json"}</w:instrText>
      </w:r>
      <w:r w:rsidRPr="00833547">
        <w:rPr>
          <w:rFonts w:ascii="Segoe UI" w:eastAsia="Calibri" w:hAnsi="Segoe UI" w:cs="Segoe UI"/>
          <w:sz w:val="24"/>
          <w:lang w:val="en-US"/>
        </w:rPr>
        <w:fldChar w:fldCharType="separate"/>
      </w:r>
      <w:r w:rsidRPr="00833547">
        <w:rPr>
          <w:rFonts w:ascii="Segoe UI" w:eastAsia="Calibri" w:hAnsi="Segoe UI" w:cs="Segoe UI"/>
          <w:noProof/>
          <w:sz w:val="24"/>
        </w:rPr>
        <w:t>(Solomon, 2009)</w:t>
      </w:r>
      <w:r w:rsidRPr="00833547">
        <w:rPr>
          <w:rFonts w:ascii="Segoe UI" w:eastAsia="Calibri" w:hAnsi="Segoe UI" w:cs="Segoe UI"/>
          <w:sz w:val="24"/>
          <w:lang w:val="en-US"/>
        </w:rPr>
        <w:fldChar w:fldCharType="end"/>
      </w:r>
      <w:r w:rsidRPr="00833547">
        <w:rPr>
          <w:rFonts w:ascii="Segoe UI" w:eastAsia="Calibri" w:hAnsi="Segoe UI" w:cs="Segoe UI"/>
          <w:sz w:val="24"/>
          <w:lang w:val="en-US"/>
        </w:rPr>
        <w:t>.</w:t>
      </w:r>
      <w:r w:rsidRPr="00833547">
        <w:rPr>
          <w:rFonts w:ascii="Segoe UI" w:hAnsi="Segoe UI" w:cs="Segoe UI"/>
          <w:sz w:val="24"/>
          <w:szCs w:val="24"/>
        </w:rPr>
        <w:t xml:space="preserve"> Historical value, workplace décor, sponsorship, and investment are the driving forces behind art collecting</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{"citationItems":[{"id":"ITEM-1","itemData":{"ISSN":"14808986","abstract":"The reasons why organizations sponsor artistic and cultural events have attracted much scholarly attention. However, the subject of why organizations create and develop their own collections has been under-investigated. This is especially striking in the financial sector, where several companies are well known for their substantial art collections. This article addresses two distinct aspects: why financial institutions in Belgium have begun to create their own art collections and how they have gone about developing them, and the categorization of actors according to their acquisition policies and their managerial objectives.","author":[{"dropping-particle":"","family":"Lindenberg","given":"Morgane","non-dropping-particle":"","parse-names":false,"suffix":""},{"dropping-particle":"","family":"Oosterlinck","given":"Kim","non-dropping-particle":"","parse-names":false,"suffix":""}],"container-title":"International Journal of Arts Management","id":"ITEM-1","issue":"3","issued":{"date-parts":[["2011"]]},"page":"4-19","title":"Art collections as a strategy tool: A typology based on the Belgian financial sector","type":"article-journal","volume":"13"},"uris":["http://www.mendeley.com/documents/?uuid=79d13bf6-3f61-413d-a85c-4a1f01dcb9d5","http://www.mendeley.com/documents/?uuid=478f06a3-8fdd-48c9-9521-6d36f0c9c37e"]}],"mendeley":{"formattedCitation":"(Lindenberg &amp; Oosterlinck, 2011)","plainTextFormattedCitation":"(Lindenberg &amp; Oosterlinck, 2011)","previouslyFormattedCitation":"(Lindenberg &amp; Oosterlinck, 2011)"},"properties":{"noteIndex":0},"schema":"https://github.com/citation-style-language/schema/raw/master/csl-citation.json"}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(Lindenberg &amp; Oosterlinck, 2011)</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This study measures the </w:t>
      </w:r>
      <w:r w:rsidRPr="00833547">
        <w:rPr>
          <w:rFonts w:ascii="Segoe UI" w:hAnsi="Segoe UI" w:cs="Segoe UI"/>
          <w:sz w:val="24"/>
          <w:szCs w:val="24"/>
          <w:lang w:val="en-US"/>
        </w:rPr>
        <w:lastRenderedPageBreak/>
        <w:t xml:space="preserve">hedonic component using the hedonic dimension, which consists of roles, best agreements, and social aspects </w:t>
      </w:r>
      <w:r w:rsidRPr="00833547">
        <w:rPr>
          <w:rFonts w:ascii="Segoe UI" w:hAnsi="Segoe UI" w:cs="Segoe UI"/>
          <w:sz w:val="24"/>
          <w:szCs w:val="24"/>
          <w:lang w:val="en-US"/>
        </w:rPr>
        <w:fldChar w:fldCharType="begin" w:fldLock="1"/>
      </w:r>
      <w:r w:rsidR="00CC2B47">
        <w:rPr>
          <w:rFonts w:ascii="Segoe UI" w:hAnsi="Segoe UI" w:cs="Segoe UI"/>
          <w:sz w:val="24"/>
          <w:szCs w:val="24"/>
          <w:lang w:val="en-US"/>
        </w:rPr>
        <w:instrText>ADDIN CSL_CITATION {"citationItems":[{"id":"ITEM-1","itemData":{"DOI":"10.46222/ajhtl.19770720.231","ISBN":"0000000179560","ISSN":"2223814X","abstract":"Digital marketing has become a mainstay for consumers to make purchases; one factor supporting it is that consumers can easily find information about the products. This research aimed to find out the influence of hedonic and utilitarianism on e-Loyalty through Trust. The population of this research is repeat guests who had reserved the hotel room more than twice. The analysis used descriptive and quantitative analysis by analyzing data using Structural Equation Modeling (SEM). The result of the research showed that Hedonic and Utilitarian have a significant influence on trust. Hedonic gives significant influence towards e-loyalty, whereas Utilitarian does not give significant influence towards e-loyalty. Finally, trust gives significant value to e-loyalty. Hedonic and Utilitarian give indirect influence to e-loyalty. Based on these findings, the writer provided critical managerial implications that the hotel should focus on the website's content to help consumers find the information quickly and make them enjoy and grow their willingness to book and stay at the hotel.","author":[{"dropping-particle":"","family":"Tuti","given":"Meylani","non-dropping-particle":"","parse-names":false,"suffix":""},{"dropping-particle":"","family":"Saputra","given":"Teguh","non-dropping-particle":"","parse-names":false,"suffix":""}],"container-title":"African Journal of Hospitality, Tourism and Leisure","id":"ITEM-1","issue":"2","issued":{"date-parts":[["2022"]]},"page":"379-393","title":"Hotel Guest’s Main Preferences in Hotel Online Booking: Pleasure or Usability","type":"article-journal","volume":"11"},"uris":["http://www.mendeley.com/documents/?uuid=363855a5-0cc3-457e-8f70-3fd78b97bcc7"]}],"mendeley":{"formattedCitation":"(Tuti &amp; Saputra, 2022)","plainTextFormattedCitation":"(Tuti &amp; Saputra, 2022)","previouslyFormattedCitation":"(Tuti &amp; Saputra, 2022)"},"properties":{"noteIndex":0},"schema":"https://github.com/citation-style-language/schema/raw/master/csl-citation.json"}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lang w:val="en-US"/>
        </w:rPr>
        <w:t>(Tuti &amp; Saputra, 2022)</w:t>
      </w:r>
      <w:r w:rsidRPr="00833547">
        <w:rPr>
          <w:rFonts w:ascii="Segoe UI" w:hAnsi="Segoe UI" w:cs="Segoe UI"/>
          <w:sz w:val="24"/>
          <w:szCs w:val="24"/>
          <w:lang w:val="en-US"/>
        </w:rPr>
        <w:fldChar w:fldCharType="end"/>
      </w:r>
      <w:r w:rsidRPr="00833547">
        <w:rPr>
          <w:rFonts w:ascii="Segoe UI" w:hAnsi="Segoe UI" w:cs="Segoe UI"/>
          <w:sz w:val="24"/>
          <w:szCs w:val="24"/>
          <w:lang w:val="en-US"/>
        </w:rPr>
        <w:t>.</w:t>
      </w:r>
      <w:r w:rsidRPr="00833547">
        <w:rPr>
          <w:rFonts w:ascii="Segoe UI" w:hAnsi="Segoe UI" w:cs="Segoe UI"/>
          <w:sz w:val="24"/>
          <w:szCs w:val="24"/>
        </w:rPr>
        <w:t xml:space="preserve"> Purchase intention is a dependent variable that is influenced by a variety of internal and external variables, including suggestions, values, expected outcomes, and emotional linkages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{"citationItems":[{"id":"ITEM-1","itemData":{"abstract":"The purpose of this study is to identify the relationship between service preferences (SERVPERF) and purchase intention in online businesses. The methodology or approach of this study is to identify five distinctive research streams in service preference quality. An empirical analysis is then carried out in which the SERVPERF scale is adapted to the study of service preference in the online business industry. The study then examines the relationship between service preference and purchase intention. The originality of the study provides a useful guide to research into service quality by identifying five distinctive streams of research on the field. The study also contributes from a methodological perspective by offering a measurement scale for service preference in the online business industry. Finally, the study contributes to studies of perceived service quality by providing an aggregated ordered logic model, and by confirming the link between service quality and behavioral intention in an online business context.","author":[{"dropping-particle":"","family":"Bakar","given":"Norzehan Abu","non-dropping-particle":"","parse-names":false,"suffix":""},{"dropping-particle":"","family":"Khan","given":"Noor Rira Mohamad","non-dropping-particle":"","parse-names":false,"suffix":""},{"dropping-particle":"","family":"Zahirudin","given":"Zubaidah","non-dropping-particle":"","parse-names":false,"suffix":""},{"dropping-particle":"","family":"Yusof","given":"Jamaliah Mohd","non-dropping-particle":"","parse-names":false,"suffix":""},{"dropping-particle":"","family":"Mohamed","given":"Rozita Naina","non-dropping-particle":"","parse-names":false,"suffix":""},{"dropping-particle":"","family":"Jamaludin","given":"Nor Fauziah","non-dropping-particle":"","parse-names":false,"suffix":""}],"container-title":"Journal of International Business and Management","id":"ITEM-1","issue":"3","issued":{"date-parts":[["2018"]]},"page":"1-14","title":"E-Commerce : Customer Purchase Intention and its Service Performance ( SERVPERF ) on Online Businesses in Malaysia","type":"article-journal","volume":"1"},"uris":["http://www.mendeley.com/documents/?uuid=cb4b7a65-89eb-4f6a-af8b-f86638735867","http://www.mendeley.com/documents/?uuid=3fc31b60-5bf2-466a-a98b-d8682ec4a74e"]}],"mendeley":{"formattedCitation":"(Bakar et al., 2018)","plainTextFormattedCitation":"(Bakar et al., 2018)","previouslyFormattedCitation":"(Bakar et al., 2018)"},"properties":{"noteIndex":0},"schema":"https://github.com/citation-style-language/schema/raw/master/csl-citation.json"}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(Bakar et al., 2018)</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w:t>
      </w:r>
      <w:r w:rsidRPr="00833547">
        <w:rPr>
          <w:rFonts w:ascii="Segoe UI" w:hAnsi="Segoe UI" w:cs="Segoe UI"/>
          <w:sz w:val="24"/>
          <w:szCs w:val="24"/>
        </w:rPr>
        <w:t>Needs satisfaction, information search, alternative appraisal, purchasing decisions, and post-purchase behavior are all factors that affect buying decisions</w:t>
      </w:r>
      <w:r w:rsidRPr="00833547">
        <w:rPr>
          <w:rFonts w:ascii="Segoe UI" w:hAnsi="Segoe UI" w:cs="Segoe UI"/>
          <w:sz w:val="24"/>
          <w:szCs w:val="24"/>
          <w:lang w:val="en-US"/>
        </w:rPr>
        <w:t xml:space="preserve"> </w:t>
      </w:r>
      <w:r w:rsidRPr="00833547">
        <w:rPr>
          <w:rFonts w:ascii="Segoe UI" w:hAnsi="Segoe UI" w:cs="Segoe UI"/>
          <w:sz w:val="24"/>
          <w:szCs w:val="24"/>
          <w:lang w:val="en-US"/>
        </w:rPr>
        <w:fldChar w:fldCharType="begin" w:fldLock="1"/>
      </w:r>
      <w:r w:rsidRPr="00833547">
        <w:rPr>
          <w:rFonts w:ascii="Segoe UI" w:hAnsi="Segoe UI" w:cs="Segoe UI"/>
          <w:sz w:val="24"/>
          <w:szCs w:val="24"/>
          <w:lang w:val="en-US"/>
        </w:rPr>
        <w:instrText>ADDIN CSL_CITATION {"citationItems":[{"id":"ITEM-1","itemData":{"DOI":"10.1016/j.dss.2015.06.004","ISSN":"01679236","abstract":"This paper provides an empirical typology of online decision-making purchasing behaviour. The study explores how the online purchase process is affected by individual decision-making style and knowledge of product. Drawing from the decision analysis and consumer behaviour literatures, we present a typology of online purchase decision-making behaviour and introduce four archetypes of online consumers. A number of experiments have been conducted in two online settings: retail banking and mobile networks. Based on an extensive video analysis, we have captured four process-related dimensions (number of cycles, duration, number of alternatives and number of criteria) using a business process modelling approach. Significant differences in all process-related dimensions were found across the four archetypes. The study improves understanding of the different types of online consumers and their process outcomes. The findings are useful for online retailers seeking to improve the way they support the four archetypes of online shoppers throughout the decision-making purchasing process.","author":[{"dropping-particle":"","family":"Karimi","given":"Sahar","non-dropping-particle":"","parse-names":false,"suffix":""},{"dropping-particle":"","family":"Papamichail","given":"K. Nadia","non-dropping-particle":"","parse-names":false,"suffix":""},{"dropping-particle":"","family":"Holland","given":"Christopher P.","non-dropping-particle":"","parse-names":false,"suffix":""}],"container-title":"Decision Support Systems","id":"ITEM-1","issued":{"date-parts":[["2015"]]},"page":"137-147","publisher":"Elsevier B.V.","title":"The effect of prior knowledge and decision-making style on the online purchase decision-making process: A typology of consumer shopping behaviour","type":"article-journal","volume":"77"},"uris":["http://www.mendeley.com/documents/?uuid=25e806e9-2598-4ef5-bbd0-f756711bcfe9","http://www.mendeley.com/documents/?uuid=498eeadc-833e-4311-b4a9-2ad825577d1f"]}],"mendeley":{"formattedCitation":"(Karimi et al., 2015)","plainTextFormattedCitation":"(Karimi et al., 2015)","previouslyFormattedCitation":"(Karimi et al., 2015)"},"properties":{"noteIndex":0},"schema":"https://github.com/citation-style-language/schema/raw/master/csl-citation.json"}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lang w:val="en-US"/>
        </w:rPr>
        <w:t>(Karimi et al., 2015)</w:t>
      </w:r>
      <w:r w:rsidRPr="00833547">
        <w:rPr>
          <w:rFonts w:ascii="Segoe UI" w:hAnsi="Segoe UI" w:cs="Segoe UI"/>
          <w:sz w:val="24"/>
          <w:szCs w:val="24"/>
          <w:lang w:val="en-US"/>
        </w:rPr>
        <w:fldChar w:fldCharType="end"/>
      </w:r>
      <w:r w:rsidRPr="00833547">
        <w:rPr>
          <w:rFonts w:ascii="Segoe UI" w:hAnsi="Segoe UI" w:cs="Segoe UI"/>
          <w:sz w:val="24"/>
          <w:szCs w:val="24"/>
          <w:lang w:val="en-US"/>
        </w:rPr>
        <w:t xml:space="preserve">. Repurchase (customer behavior that repeats consumption) and Recommending others to Purchase are the two components of repurchase intention (consumers will recommend other people to make consumption) </w:t>
      </w:r>
      <w:r w:rsidRPr="00833547">
        <w:rPr>
          <w:rFonts w:ascii="Segoe UI" w:hAnsi="Segoe UI" w:cs="Segoe UI"/>
          <w:sz w:val="24"/>
          <w:lang w:val="en-US"/>
        </w:rPr>
        <w:fldChar w:fldCharType="begin" w:fldLock="1"/>
      </w:r>
      <w:r w:rsidR="00CC2B47">
        <w:rPr>
          <w:rFonts w:ascii="Segoe UI" w:hAnsi="Segoe UI" w:cs="Segoe UI"/>
          <w:sz w:val="24"/>
          <w:lang w:val="en-US"/>
        </w:rPr>
        <w:instrText>ADDIN CSL_CITATION {"citationItems":[{"id":"ITEM-1","itemData":{"DOI":"10.1108/BFJ-03-2012-0058","ISBN":"0320120058","ISSN":"0007070X","abstract":"Purpose: The purposes of this study are: to investigate the relationship of personal background to online group buying's satisfaction and to establish the relationship between consumer's satisfactions and repurchase intention. Design/methodology/approach: This research used a questionnaire to survey and chose consumers with online group buying experience as research subjects. The study used SPSS statistic software to analyze. Findings: The outcomes of this study are: demographic variables have effects on consumer's online food group-buying satisfaction. Consumer's satisfaction has an effect on repurchase intention. Originality/value: This paper investigates the relationship of personal background to online group buying's satisfaction. It establishes the relationship between consumer's satisfaction and repurchase intention. © Emerald Group Publishing Limited.","author":[{"dropping-particle":"","family":"Chang","given":"Shu Chun","non-dropping-particle":"","parse-names":false,"suffix":""},{"dropping-particle":"","family":"Chou","given":"Pei Yu","non-dropping-particle":"","parse-names":false,"suffix":""},{"dropping-particle":"","family":"Wen-Chien","given":"Lo","non-dropping-particle":"","parse-names":false,"suffix":""}],"container-title":"British Food Journal","id":"ITEM-1","issue":"1","issued":{"date-parts":[["2014"]]},"page":"44-61","title":"Evaluation of satisfaction and repurchase intention in online food group-buying, using Taiwan as an example","type":"article-journal","volume":"116"},"uris":["http://www.mendeley.com/documents/?uuid=f3d4d7a2-ba42-44e2-b642-aa98bd99a0f5","http://www.mendeley.com/documents/?uuid=0e4ca8d9-04dc-430f-a599-4bfce6e342a2","http://www.mendeley.com/documents/?uuid=b5a843fe-3706-4666-a751-17aa005c665b"]}],"mendeley":{"formattedCitation":"(Chang et al., 2014)","plainTextFormattedCitation":"(Chang et al., 2014)","previouslyFormattedCitation":"(Chang et al., 2014)"},"properties":{"noteIndex":0},"schema":"https://github.com/citation-style-language/schema/raw/master/csl-citation.json"}</w:instrText>
      </w:r>
      <w:r w:rsidRPr="00833547">
        <w:rPr>
          <w:rFonts w:ascii="Segoe UI" w:hAnsi="Segoe UI" w:cs="Segoe UI"/>
          <w:sz w:val="24"/>
          <w:lang w:val="en-US"/>
        </w:rPr>
        <w:fldChar w:fldCharType="separate"/>
      </w:r>
      <w:r w:rsidRPr="00833547">
        <w:rPr>
          <w:rFonts w:ascii="Segoe UI" w:hAnsi="Segoe UI" w:cs="Segoe UI"/>
          <w:noProof/>
          <w:sz w:val="24"/>
          <w:lang w:val="en-US"/>
        </w:rPr>
        <w:t>(Chang et al., 2014)</w:t>
      </w:r>
      <w:r w:rsidRPr="00833547">
        <w:rPr>
          <w:rFonts w:ascii="Segoe UI" w:hAnsi="Segoe UI" w:cs="Segoe UI"/>
          <w:sz w:val="24"/>
          <w:lang w:val="en-US"/>
        </w:rPr>
        <w:fldChar w:fldCharType="end"/>
      </w:r>
      <w:r w:rsidRPr="00833547">
        <w:rPr>
          <w:rFonts w:ascii="Segoe UI" w:hAnsi="Segoe UI" w:cs="Segoe UI"/>
          <w:sz w:val="24"/>
          <w:lang w:val="en-US"/>
        </w:rPr>
        <w:t xml:space="preserve">.  </w:t>
      </w:r>
    </w:p>
    <w:p w:rsidR="00C63058" w:rsidRPr="00173D33" w:rsidRDefault="001F26B0" w:rsidP="001F26B0">
      <w:pPr>
        <w:pStyle w:val="I-POINT"/>
      </w:pPr>
      <w:r w:rsidRPr="00173D33">
        <w:rPr>
          <w:rFonts w:eastAsia="Calibri Light"/>
        </w:rPr>
        <w:t>Results and Discussion</w:t>
      </w:r>
      <w:r w:rsidR="00C46FD2">
        <w:rPr>
          <w:rFonts w:eastAsia="Calibri Light"/>
        </w:rPr>
        <w:t xml:space="preserve"> </w:t>
      </w:r>
    </w:p>
    <w:p w:rsidR="00ED4C99" w:rsidRPr="004B6AF6" w:rsidRDefault="00ED4C99" w:rsidP="00ED4C99">
      <w:pPr>
        <w:pStyle w:val="ListParagraph"/>
        <w:ind w:left="0"/>
        <w:jc w:val="both"/>
        <w:rPr>
          <w:rFonts w:ascii="Times New Roman" w:hAnsi="Times New Roman" w:cs="Times New Roman"/>
          <w:b/>
          <w:bCs/>
          <w:sz w:val="24"/>
          <w:szCs w:val="24"/>
        </w:rPr>
      </w:pPr>
      <w:r w:rsidRPr="007175F8">
        <w:rPr>
          <w:rFonts w:ascii="Times New Roman" w:hAnsi="Times New Roman" w:cs="Times New Roman"/>
          <w:b/>
          <w:bCs/>
          <w:sz w:val="24"/>
          <w:szCs w:val="24"/>
        </w:rPr>
        <w:t>Demographic Data</w:t>
      </w:r>
    </w:p>
    <w:p w:rsidR="00ED4C99" w:rsidRPr="007175F8" w:rsidRDefault="00ED4C99" w:rsidP="00ED4C99">
      <w:pPr>
        <w:jc w:val="both"/>
        <w:rPr>
          <w:sz w:val="24"/>
          <w:szCs w:val="24"/>
        </w:rPr>
      </w:pPr>
      <w:r w:rsidRPr="007175F8">
        <w:rPr>
          <w:sz w:val="24"/>
          <w:szCs w:val="24"/>
        </w:rPr>
        <w:t>Table 1: Descriptive Respondent</w:t>
      </w:r>
    </w:p>
    <w:tbl>
      <w:tblPr>
        <w:tblW w:w="6500" w:type="dxa"/>
        <w:tblLook w:val="04A0" w:firstRow="1" w:lastRow="0" w:firstColumn="1" w:lastColumn="0" w:noHBand="0" w:noVBand="1"/>
      </w:tblPr>
      <w:tblGrid>
        <w:gridCol w:w="4380"/>
        <w:gridCol w:w="945"/>
        <w:gridCol w:w="1175"/>
      </w:tblGrid>
      <w:tr w:rsidR="00ED4C99" w:rsidRPr="007175F8" w:rsidTr="00ED4C99">
        <w:trPr>
          <w:trHeight w:val="350"/>
        </w:trPr>
        <w:tc>
          <w:tcPr>
            <w:tcW w:w="4380" w:type="dxa"/>
            <w:tcBorders>
              <w:top w:val="single" w:sz="8" w:space="0" w:color="auto"/>
              <w:left w:val="nil"/>
              <w:bottom w:val="single" w:sz="8" w:space="0" w:color="auto"/>
              <w:right w:val="nil"/>
            </w:tcBorders>
            <w:shd w:val="clear" w:color="auto" w:fill="auto"/>
            <w:vAlign w:val="center"/>
            <w:hideMark/>
          </w:tcPr>
          <w:p w:rsidR="00ED4C99" w:rsidRPr="007175F8" w:rsidRDefault="00ED4C99" w:rsidP="00ED4C99">
            <w:pPr>
              <w:jc w:val="both"/>
              <w:rPr>
                <w:b/>
                <w:bCs/>
                <w:color w:val="000000"/>
                <w:szCs w:val="20"/>
                <w:lang w:val="en-ID" w:eastAsia="en-ID"/>
              </w:rPr>
            </w:pPr>
            <w:r w:rsidRPr="007175F8">
              <w:rPr>
                <w:b/>
                <w:bCs/>
                <w:color w:val="000000"/>
                <w:szCs w:val="20"/>
                <w:lang w:eastAsia="en-ID"/>
              </w:rPr>
              <w:t> </w:t>
            </w:r>
          </w:p>
        </w:tc>
        <w:tc>
          <w:tcPr>
            <w:tcW w:w="1060" w:type="dxa"/>
            <w:tcBorders>
              <w:top w:val="single" w:sz="8" w:space="0" w:color="auto"/>
              <w:left w:val="nil"/>
              <w:bottom w:val="single" w:sz="8" w:space="0" w:color="auto"/>
              <w:right w:val="nil"/>
            </w:tcBorders>
            <w:shd w:val="clear" w:color="auto" w:fill="auto"/>
            <w:vAlign w:val="center"/>
            <w:hideMark/>
          </w:tcPr>
          <w:p w:rsidR="00ED4C99" w:rsidRPr="007175F8" w:rsidRDefault="00ED4C99" w:rsidP="00ED4C99">
            <w:pPr>
              <w:jc w:val="center"/>
              <w:rPr>
                <w:b/>
                <w:bCs/>
                <w:color w:val="000000"/>
                <w:szCs w:val="20"/>
                <w:lang w:val="en-ID" w:eastAsia="en-ID"/>
              </w:rPr>
            </w:pPr>
            <w:r w:rsidRPr="007175F8">
              <w:rPr>
                <w:b/>
                <w:bCs/>
                <w:color w:val="000000"/>
                <w:szCs w:val="20"/>
                <w:lang w:val="en-ID" w:eastAsia="en-ID"/>
              </w:rPr>
              <w:t xml:space="preserve">Total </w:t>
            </w:r>
          </w:p>
        </w:tc>
        <w:tc>
          <w:tcPr>
            <w:tcW w:w="1060" w:type="dxa"/>
            <w:tcBorders>
              <w:top w:val="single" w:sz="8" w:space="0" w:color="auto"/>
              <w:left w:val="nil"/>
              <w:bottom w:val="single" w:sz="8" w:space="0" w:color="auto"/>
              <w:right w:val="nil"/>
            </w:tcBorders>
            <w:shd w:val="clear" w:color="auto" w:fill="auto"/>
            <w:vAlign w:val="center"/>
            <w:hideMark/>
          </w:tcPr>
          <w:p w:rsidR="00ED4C99" w:rsidRPr="007175F8" w:rsidRDefault="00ED4C99" w:rsidP="00ED4C99">
            <w:pPr>
              <w:jc w:val="center"/>
              <w:rPr>
                <w:b/>
                <w:bCs/>
                <w:color w:val="000000"/>
                <w:szCs w:val="20"/>
                <w:lang w:val="en-ID" w:eastAsia="en-ID"/>
              </w:rPr>
            </w:pPr>
            <w:r w:rsidRPr="007175F8">
              <w:rPr>
                <w:b/>
                <w:bCs/>
                <w:color w:val="000000"/>
                <w:szCs w:val="20"/>
                <w:lang w:eastAsia="en-ID"/>
              </w:rPr>
              <w:t>Percentage</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eastAsia="en-ID"/>
              </w:rPr>
              <w:t>Gender</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t>Male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39</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25%</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t>Female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113</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75%</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eastAsia="en-ID"/>
              </w:rPr>
              <w:t>Age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t>&gt;17-25</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127</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84,00%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t>&gt;25-30</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20</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16,00%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eastAsia="en-ID"/>
              </w:rPr>
              <w:t>Number of Visits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lastRenderedPageBreak/>
              <w:t>1 - 2 times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101</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65,80%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t>&gt; 3 times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51</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34,20%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Visiting Purpose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Travel</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55</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36,10%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Education</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51</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32,90%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Go for a walk</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48</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31%</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Origin</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Jakarta</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97</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63,50%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Outside Jakarta</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55</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36,50%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Visiting Time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Morning</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46</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32,70%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Afternoon</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85</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54,50%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Afternoon</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21</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12,80%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Gallery Activities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Taking pictures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70</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45,20%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Enjoys Art And Painting</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81</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54,80%</w:t>
            </w:r>
          </w:p>
        </w:tc>
      </w:tr>
      <w:tr w:rsidR="00ED4C99" w:rsidRPr="00CC2B47" w:rsidTr="00ED4C99">
        <w:trPr>
          <w:trHeight w:val="320"/>
        </w:trPr>
        <w:tc>
          <w:tcPr>
            <w:tcW w:w="4380" w:type="dxa"/>
            <w:tcBorders>
              <w:top w:val="nil"/>
              <w:left w:val="nil"/>
              <w:bottom w:val="single" w:sz="8" w:space="0" w:color="auto"/>
              <w:right w:val="nil"/>
            </w:tcBorders>
            <w:shd w:val="clear" w:color="auto" w:fill="auto"/>
            <w:noWrap/>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Is visiting the National Gallery your top choice?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Yes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94</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61,50%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No</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58</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38,50%</w:t>
            </w:r>
          </w:p>
        </w:tc>
      </w:tr>
    </w:tbl>
    <w:p w:rsidR="00ED4C99" w:rsidRPr="003D5940" w:rsidRDefault="00ED4C99" w:rsidP="00ED4C99">
      <w:pPr>
        <w:jc w:val="both"/>
        <w:rPr>
          <w:bCs/>
          <w:szCs w:val="20"/>
          <w:lang w:val="en-US"/>
        </w:rPr>
      </w:pPr>
      <w:r w:rsidRPr="007175F8">
        <w:rPr>
          <w:bCs/>
          <w:szCs w:val="20"/>
          <w:lang w:val="en-US"/>
        </w:rPr>
        <w:t>Source: Authors, 2022</w:t>
      </w:r>
    </w:p>
    <w:p w:rsidR="00ED4C99" w:rsidRPr="003D5940" w:rsidRDefault="00ED4C99" w:rsidP="00ED4C99">
      <w:pPr>
        <w:jc w:val="both"/>
        <w:rPr>
          <w:color w:val="FF0000"/>
          <w:sz w:val="24"/>
          <w:szCs w:val="24"/>
        </w:rPr>
      </w:pPr>
    </w:p>
    <w:p w:rsidR="00ED4C99" w:rsidRPr="00833547" w:rsidRDefault="00ED4C99" w:rsidP="00ED4C99">
      <w:pPr>
        <w:ind w:firstLine="720"/>
        <w:jc w:val="both"/>
        <w:rPr>
          <w:rFonts w:ascii="Segoe UI" w:hAnsi="Segoe UI" w:cs="Segoe UI"/>
          <w:sz w:val="24"/>
          <w:szCs w:val="24"/>
          <w:lang w:val="en-US"/>
        </w:rPr>
      </w:pPr>
      <w:r w:rsidRPr="00833547">
        <w:rPr>
          <w:rFonts w:ascii="Segoe UI" w:hAnsi="Segoe UI" w:cs="Segoe UI"/>
          <w:sz w:val="24"/>
          <w:szCs w:val="24"/>
        </w:rPr>
        <w:t>The profile of respondents showed that there were 25% male and 75% female respondents aged over 17-25 years 82.1%, aged more than 25-30 years 14.1% and aged 40 years 1.9% and presentation at the visit 1 time 65.8% which is more than once 34.2% to visit for sightseeing 36.1%, education 39.2% and travel 31% then tourists coming from Jakarta 63.5% and outside Jakarta 36 .5% then the estimated time of visiting is in the morning 32.7%, afternoon 54.5% and afternoon 12.8% with activities in photo galleries 45.2% and enjoying art and paintings 54.8%</w:t>
      </w:r>
      <w:r w:rsidRPr="00833547">
        <w:rPr>
          <w:rFonts w:ascii="Segoe UI" w:hAnsi="Segoe UI" w:cs="Segoe UI"/>
          <w:sz w:val="24"/>
          <w:szCs w:val="24"/>
          <w:lang w:val="en-US"/>
        </w:rPr>
        <w:t>. Up to 61.50% of tourists said that their top priority when traveling was to see the National Gallery. This demonstrates the high level of interest among visitors in viewing the national gallery's art collection in contrast to visits made for random reasons.</w:t>
      </w:r>
    </w:p>
    <w:p w:rsidR="00ED4C99" w:rsidRPr="00E77183" w:rsidRDefault="00ED4C99" w:rsidP="00ED4C99">
      <w:pPr>
        <w:jc w:val="both"/>
        <w:rPr>
          <w:sz w:val="24"/>
          <w:szCs w:val="24"/>
        </w:rPr>
      </w:pPr>
    </w:p>
    <w:p w:rsidR="00585D0B" w:rsidRDefault="00585D0B" w:rsidP="00ED4C99">
      <w:pPr>
        <w:jc w:val="center"/>
        <w:rPr>
          <w:b/>
          <w:bCs/>
          <w:sz w:val="24"/>
          <w:szCs w:val="24"/>
        </w:rPr>
      </w:pPr>
    </w:p>
    <w:p w:rsidR="00833547" w:rsidRDefault="00833547" w:rsidP="00ED4C99">
      <w:pPr>
        <w:jc w:val="center"/>
        <w:rPr>
          <w:b/>
          <w:bCs/>
          <w:sz w:val="24"/>
          <w:szCs w:val="24"/>
        </w:rPr>
      </w:pPr>
    </w:p>
    <w:p w:rsidR="00833547" w:rsidRDefault="00833547" w:rsidP="00ED4C99">
      <w:pPr>
        <w:jc w:val="center"/>
        <w:rPr>
          <w:b/>
          <w:bCs/>
          <w:sz w:val="24"/>
          <w:szCs w:val="24"/>
        </w:rPr>
      </w:pPr>
    </w:p>
    <w:p w:rsidR="00833547" w:rsidRDefault="00833547" w:rsidP="00ED4C99">
      <w:pPr>
        <w:jc w:val="center"/>
        <w:rPr>
          <w:b/>
          <w:bCs/>
          <w:sz w:val="24"/>
          <w:szCs w:val="24"/>
        </w:rPr>
      </w:pPr>
    </w:p>
    <w:p w:rsidR="00833547" w:rsidRDefault="00833547" w:rsidP="00ED4C99">
      <w:pPr>
        <w:jc w:val="center"/>
        <w:rPr>
          <w:b/>
          <w:bCs/>
          <w:sz w:val="24"/>
          <w:szCs w:val="24"/>
        </w:rPr>
      </w:pPr>
    </w:p>
    <w:p w:rsidR="00833547" w:rsidRDefault="00833547" w:rsidP="00ED4C99">
      <w:pPr>
        <w:jc w:val="center"/>
        <w:rPr>
          <w:b/>
          <w:bCs/>
          <w:sz w:val="24"/>
          <w:szCs w:val="24"/>
        </w:rPr>
      </w:pPr>
    </w:p>
    <w:p w:rsidR="00585D0B" w:rsidRDefault="00585D0B" w:rsidP="00ED4C99">
      <w:pPr>
        <w:jc w:val="center"/>
        <w:rPr>
          <w:b/>
          <w:bCs/>
          <w:sz w:val="24"/>
          <w:szCs w:val="24"/>
        </w:rPr>
      </w:pPr>
    </w:p>
    <w:p w:rsidR="00585D0B" w:rsidRDefault="00585D0B" w:rsidP="00ED4C99">
      <w:pPr>
        <w:jc w:val="center"/>
        <w:rPr>
          <w:b/>
          <w:bCs/>
          <w:sz w:val="24"/>
          <w:szCs w:val="24"/>
        </w:rPr>
      </w:pPr>
    </w:p>
    <w:p w:rsidR="00ED4C99" w:rsidRPr="003D5940" w:rsidRDefault="00ED4C99" w:rsidP="00ED4C99">
      <w:pPr>
        <w:jc w:val="center"/>
        <w:rPr>
          <w:b/>
          <w:bCs/>
          <w:sz w:val="24"/>
          <w:szCs w:val="24"/>
          <w:lang w:val="en-US"/>
        </w:rPr>
      </w:pPr>
      <w:r w:rsidRPr="0058174F">
        <w:rPr>
          <w:b/>
          <w:bCs/>
          <w:sz w:val="24"/>
          <w:szCs w:val="24"/>
          <w:lang w:val="en-US"/>
        </w:rPr>
        <w:lastRenderedPageBreak/>
        <w:t>Structural Model</w:t>
      </w:r>
    </w:p>
    <w:p w:rsidR="00ED4C99" w:rsidRPr="003D5940" w:rsidRDefault="00ED4C99" w:rsidP="00ED4C99">
      <w:pPr>
        <w:jc w:val="both"/>
        <w:rPr>
          <w:color w:val="FF0000"/>
          <w:sz w:val="24"/>
          <w:szCs w:val="24"/>
        </w:rPr>
      </w:pPr>
      <w:r w:rsidRPr="008441D4">
        <w:rPr>
          <w:noProof/>
          <w:sz w:val="24"/>
          <w:szCs w:val="24"/>
          <w:lang w:eastAsia="id-ID"/>
        </w:rPr>
        <w:drawing>
          <wp:inline distT="0" distB="0" distL="0" distR="0" wp14:anchorId="6EA62CDA" wp14:editId="78139FE7">
            <wp:extent cx="5400040" cy="3510116"/>
            <wp:effectExtent l="0" t="0" r="0" b="0"/>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04140" cy="3512781"/>
                    </a:xfrm>
                    <a:prstGeom prst="rect">
                      <a:avLst/>
                    </a:prstGeom>
                  </pic:spPr>
                </pic:pic>
              </a:graphicData>
            </a:graphic>
          </wp:inline>
        </w:drawing>
      </w:r>
    </w:p>
    <w:p w:rsidR="00ED4C99" w:rsidRPr="00585D0B" w:rsidRDefault="00ED4C99" w:rsidP="00585D0B">
      <w:pPr>
        <w:jc w:val="center"/>
        <w:rPr>
          <w:sz w:val="24"/>
          <w:szCs w:val="24"/>
        </w:rPr>
      </w:pPr>
      <w:r w:rsidRPr="008441D4">
        <w:rPr>
          <w:sz w:val="24"/>
          <w:szCs w:val="24"/>
          <w:lang w:val="en-US"/>
        </w:rPr>
        <w:t>Figure 1: Structural Model</w:t>
      </w:r>
    </w:p>
    <w:p w:rsidR="00ED4C99" w:rsidRDefault="00ED4C99" w:rsidP="00ED4C99">
      <w:pPr>
        <w:jc w:val="both"/>
        <w:rPr>
          <w:sz w:val="24"/>
          <w:szCs w:val="24"/>
          <w:lang w:val="en-US"/>
        </w:rPr>
      </w:pPr>
    </w:p>
    <w:p w:rsidR="00ED4C99" w:rsidRPr="00833547" w:rsidRDefault="00ED4C99" w:rsidP="00ED4C99">
      <w:pPr>
        <w:ind w:firstLine="720"/>
        <w:jc w:val="both"/>
        <w:rPr>
          <w:rFonts w:ascii="Segoe UI" w:hAnsi="Segoe UI" w:cs="Segoe UI"/>
          <w:sz w:val="24"/>
          <w:szCs w:val="24"/>
          <w:lang w:val="en-US"/>
        </w:rPr>
      </w:pPr>
      <w:r w:rsidRPr="00833547">
        <w:rPr>
          <w:rFonts w:ascii="Segoe UI" w:hAnsi="Segoe UI" w:cs="Segoe UI"/>
          <w:sz w:val="24"/>
          <w:szCs w:val="24"/>
          <w:lang w:val="en-US"/>
        </w:rPr>
        <w:t xml:space="preserve">In addition to looking at the value of a cross-loading, the value of discriminant validity can be known through other methods, namely by looking at the Average Variant Extract (AVE) value in each indicator variable with the condition that it must have a value of &gt; 0.05 to get a good method. </w:t>
      </w:r>
      <w:proofErr w:type="gramStart"/>
      <w:r w:rsidRPr="00833547">
        <w:rPr>
          <w:rFonts w:ascii="Segoe UI" w:hAnsi="Segoe UI" w:cs="Segoe UI"/>
          <w:sz w:val="24"/>
          <w:szCs w:val="24"/>
          <w:lang w:val="en-US"/>
        </w:rPr>
        <w:t>the</w:t>
      </w:r>
      <w:proofErr w:type="gramEnd"/>
      <w:r w:rsidRPr="00833547">
        <w:rPr>
          <w:rFonts w:ascii="Segoe UI" w:hAnsi="Segoe UI" w:cs="Segoe UI"/>
          <w:sz w:val="24"/>
          <w:szCs w:val="24"/>
          <w:lang w:val="en-US"/>
        </w:rPr>
        <w:t xml:space="preserve"> results of the AVE data in Table 2, you can see the AVE values for the variables Lifestyle (X1), Art Collection (X2), Lifestyle (X3), Visit Intention (Y1), Visit Decision (Y2) AND Revisit Intention (Y3) </w:t>
      </w:r>
      <w:r w:rsidRPr="00833547">
        <w:rPr>
          <w:rFonts w:ascii="Segoe UI" w:hAnsi="Segoe UI" w:cs="Segoe UI"/>
          <w:sz w:val="24"/>
          <w:szCs w:val="24"/>
          <w:lang w:val="en-US"/>
        </w:rPr>
        <w:lastRenderedPageBreak/>
        <w:t>have AVE value &gt; 0.05. So it is stated that each has good discriminant validity.</w:t>
      </w:r>
    </w:p>
    <w:p w:rsidR="00ED4C99" w:rsidRDefault="00ED4C99" w:rsidP="00ED4C99">
      <w:pPr>
        <w:jc w:val="center"/>
        <w:rPr>
          <w:sz w:val="24"/>
          <w:szCs w:val="24"/>
          <w:lang w:val="en-US"/>
        </w:rPr>
      </w:pPr>
    </w:p>
    <w:p w:rsidR="00ED4C99" w:rsidRPr="00255D2E" w:rsidRDefault="00ED4C99" w:rsidP="00ED4C99">
      <w:pPr>
        <w:contextualSpacing/>
        <w:jc w:val="both"/>
        <w:rPr>
          <w:rFonts w:eastAsia="Calibri"/>
          <w:sz w:val="24"/>
          <w:szCs w:val="24"/>
          <w:lang w:val="en-ID"/>
        </w:rPr>
      </w:pPr>
      <w:r w:rsidRPr="00255D2E">
        <w:rPr>
          <w:rFonts w:eastAsia="Calibri"/>
          <w:sz w:val="24"/>
          <w:szCs w:val="24"/>
          <w:lang w:val="en-ID"/>
        </w:rPr>
        <w:t>Table 2: Measurement Model: item loading, construct loading, composite reliability (CR), and convergent validity (AVE)</w:t>
      </w:r>
    </w:p>
    <w:tbl>
      <w:tblPr>
        <w:tblW w:w="7940" w:type="dxa"/>
        <w:tblBorders>
          <w:top w:val="single" w:sz="8" w:space="0" w:color="auto"/>
          <w:bottom w:val="single" w:sz="8" w:space="0" w:color="auto"/>
        </w:tblBorders>
        <w:tblLook w:val="04A0" w:firstRow="1" w:lastRow="0" w:firstColumn="1" w:lastColumn="0" w:noHBand="0" w:noVBand="1"/>
      </w:tblPr>
      <w:tblGrid>
        <w:gridCol w:w="1520"/>
        <w:gridCol w:w="3040"/>
        <w:gridCol w:w="660"/>
        <w:gridCol w:w="960"/>
        <w:gridCol w:w="1091"/>
        <w:gridCol w:w="800"/>
      </w:tblGrid>
      <w:tr w:rsidR="00ED4C99" w:rsidRPr="00CC2B47" w:rsidTr="00ED4C99">
        <w:trPr>
          <w:trHeight w:val="530"/>
        </w:trPr>
        <w:tc>
          <w:tcPr>
            <w:tcW w:w="1520" w:type="dxa"/>
            <w:tcBorders>
              <w:top w:val="single" w:sz="8"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Variables</w:t>
            </w:r>
          </w:p>
        </w:tc>
        <w:tc>
          <w:tcPr>
            <w:tcW w:w="3040" w:type="dxa"/>
            <w:tcBorders>
              <w:top w:val="single" w:sz="8"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Indicator</w:t>
            </w:r>
          </w:p>
        </w:tc>
        <w:tc>
          <w:tcPr>
            <w:tcW w:w="660" w:type="dxa"/>
            <w:tcBorders>
              <w:top w:val="single" w:sz="8"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Item</w:t>
            </w:r>
          </w:p>
        </w:tc>
        <w:tc>
          <w:tcPr>
            <w:tcW w:w="960" w:type="dxa"/>
            <w:tcBorders>
              <w:top w:val="single" w:sz="8"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Loading Factor</w:t>
            </w:r>
          </w:p>
        </w:tc>
        <w:tc>
          <w:tcPr>
            <w:tcW w:w="960" w:type="dxa"/>
            <w:tcBorders>
              <w:top w:val="single" w:sz="8"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Reliability</w:t>
            </w:r>
          </w:p>
        </w:tc>
        <w:tc>
          <w:tcPr>
            <w:tcW w:w="800" w:type="dxa"/>
            <w:tcBorders>
              <w:top w:val="single" w:sz="8"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AVE</w:t>
            </w:r>
          </w:p>
        </w:tc>
      </w:tr>
      <w:tr w:rsidR="00ED4C99" w:rsidRPr="00CC2B47" w:rsidTr="00ED4C99">
        <w:trPr>
          <w:trHeight w:val="290"/>
        </w:trPr>
        <w:tc>
          <w:tcPr>
            <w:tcW w:w="1520" w:type="dxa"/>
            <w:vMerge w:val="restar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xml:space="preserve">Life Style </w:t>
            </w:r>
          </w:p>
        </w:tc>
        <w:tc>
          <w:tcPr>
            <w:tcW w:w="3040" w:type="dxa"/>
            <w:tcBorders>
              <w:top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1. Attitude</w:t>
            </w:r>
          </w:p>
        </w:tc>
        <w:tc>
          <w:tcPr>
            <w:tcW w:w="660" w:type="dxa"/>
            <w:vMerge w:val="restar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GH4</w:t>
            </w:r>
          </w:p>
        </w:tc>
        <w:tc>
          <w:tcPr>
            <w:tcW w:w="960" w:type="dxa"/>
            <w:vMerge w:val="restar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val="en-ID" w:eastAsia="en-ID"/>
              </w:rPr>
              <w:t>0,844</w:t>
            </w:r>
          </w:p>
        </w:tc>
        <w:tc>
          <w:tcPr>
            <w:tcW w:w="960" w:type="dxa"/>
            <w:vMerge w:val="restar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0,846</w:t>
            </w:r>
          </w:p>
        </w:tc>
        <w:tc>
          <w:tcPr>
            <w:tcW w:w="800" w:type="dxa"/>
            <w:vMerge w:val="restar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0,731</w:t>
            </w: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2. Values</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3. Activities and interest</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4. Media Patterns</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GH5</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val="en-ID" w:eastAsia="en-ID"/>
              </w:rPr>
              <w:t>0,866</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5. Usage Rates</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szCs w:val="20"/>
                <w:lang w:eastAsia="en-ID"/>
              </w:rPr>
              <w:t>(Solomon, 2009)</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restart"/>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Art Collection</w:t>
            </w: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1. Historical Value</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AC2</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0,790</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0,849</w:t>
            </w:r>
          </w:p>
        </w:tc>
        <w:tc>
          <w:tcPr>
            <w:tcW w:w="80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0,652</w:t>
            </w: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2. Office Decoration</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3. Office</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AC3</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0,828</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4. Sponsor</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5. Investment</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AC5</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0,805</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szCs w:val="20"/>
                <w:lang w:eastAsia="en-ID"/>
              </w:rPr>
              <w:t>(Lindenberg &amp; Oosterlinck, 2011).</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restart"/>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xml:space="preserve">Hedonic </w:t>
            </w: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1. Role</w:t>
            </w:r>
          </w:p>
        </w:tc>
        <w:tc>
          <w:tcPr>
            <w:tcW w:w="6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HD1</w:t>
            </w:r>
          </w:p>
        </w:tc>
        <w:tc>
          <w:tcPr>
            <w:tcW w:w="9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0,795</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0,846</w:t>
            </w:r>
          </w:p>
        </w:tc>
        <w:tc>
          <w:tcPr>
            <w:tcW w:w="80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0,646</w:t>
            </w: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2. Agreement</w:t>
            </w:r>
          </w:p>
        </w:tc>
        <w:tc>
          <w:tcPr>
            <w:tcW w:w="6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HD2</w:t>
            </w:r>
          </w:p>
        </w:tc>
        <w:tc>
          <w:tcPr>
            <w:tcW w:w="9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0,799</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 xml:space="preserve">3. Social </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HD3</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0,816</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szCs w:val="20"/>
                <w:lang w:eastAsia="en-ID"/>
              </w:rPr>
              <w:t>(Tuti &amp; Saputra, 2022)</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restart"/>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Intention</w:t>
            </w: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1. Results</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VI1</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0,914</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0,884</w:t>
            </w:r>
          </w:p>
        </w:tc>
        <w:tc>
          <w:tcPr>
            <w:tcW w:w="80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xml:space="preserve"> 0,793 </w:t>
            </w: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2. Value</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3. Recommendations</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VI2</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0,866</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4. Emotional Associations</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szCs w:val="20"/>
                <w:lang w:eastAsia="en-ID"/>
              </w:rPr>
              <w:t>(Bakar et al., 2018)</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restart"/>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Decision</w:t>
            </w: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 xml:space="preserve">1. </w:t>
            </w:r>
            <w:proofErr w:type="spellStart"/>
            <w:r w:rsidRPr="00CC2B47">
              <w:rPr>
                <w:rFonts w:ascii="Segoe UI" w:hAnsi="Segoe UI" w:cs="Segoe UI"/>
                <w:color w:val="000000"/>
                <w:szCs w:val="20"/>
                <w:lang w:val="en-ID" w:eastAsia="en-ID"/>
              </w:rPr>
              <w:t>Fulfillment</w:t>
            </w:r>
            <w:proofErr w:type="spellEnd"/>
            <w:r w:rsidRPr="00CC2B47">
              <w:rPr>
                <w:rFonts w:ascii="Segoe UI" w:hAnsi="Segoe UI" w:cs="Segoe UI"/>
                <w:color w:val="000000"/>
                <w:szCs w:val="20"/>
                <w:lang w:val="en-ID" w:eastAsia="en-ID"/>
              </w:rPr>
              <w:t xml:space="preserve"> of Needs</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KP1</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0,741</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0,822</w:t>
            </w:r>
          </w:p>
        </w:tc>
        <w:tc>
          <w:tcPr>
            <w:tcW w:w="80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0,606</w:t>
            </w: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2. Information Search</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3. Alternative Evaluation</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KP4</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0,756</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4. Purchase decision</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 xml:space="preserve">5. </w:t>
            </w:r>
            <w:proofErr w:type="spellStart"/>
            <w:r w:rsidRPr="00CC2B47">
              <w:rPr>
                <w:rFonts w:ascii="Segoe UI" w:hAnsi="Segoe UI" w:cs="Segoe UI"/>
                <w:color w:val="000000"/>
                <w:szCs w:val="20"/>
                <w:lang w:val="en-ID" w:eastAsia="en-ID"/>
              </w:rPr>
              <w:t>Behavior</w:t>
            </w:r>
            <w:proofErr w:type="spellEnd"/>
            <w:r w:rsidRPr="00CC2B47">
              <w:rPr>
                <w:rFonts w:ascii="Segoe UI" w:hAnsi="Segoe UI" w:cs="Segoe UI"/>
                <w:color w:val="000000"/>
                <w:szCs w:val="20"/>
                <w:lang w:val="en-ID" w:eastAsia="en-ID"/>
              </w:rPr>
              <w:t xml:space="preserve"> after purchase</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KP5</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0,836</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szCs w:val="20"/>
                <w:lang w:val="en-US" w:eastAsia="en-ID"/>
              </w:rPr>
              <w:t>(Karimi et al., 2015)</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restart"/>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Revisit Intention</w:t>
            </w: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id-ID"/>
              </w:rPr>
              <w:t>1. Repurchase</w:t>
            </w:r>
          </w:p>
        </w:tc>
        <w:tc>
          <w:tcPr>
            <w:tcW w:w="6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RV1</w:t>
            </w:r>
          </w:p>
        </w:tc>
        <w:tc>
          <w:tcPr>
            <w:tcW w:w="9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0,801</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0,879</w:t>
            </w:r>
          </w:p>
        </w:tc>
        <w:tc>
          <w:tcPr>
            <w:tcW w:w="80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0,646</w:t>
            </w:r>
          </w:p>
        </w:tc>
      </w:tr>
      <w:tr w:rsidR="00ED4C99" w:rsidRPr="00CC2B47" w:rsidTr="00ED4C99">
        <w:trPr>
          <w:trHeight w:val="52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2. Recommendation to others to repurchase</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RV2</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0,872</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lang w:val="en-US" w:eastAsia="en-ID"/>
              </w:rPr>
              <w:t>(Chang et al., 2014)</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bl>
    <w:p w:rsidR="00ED4C99" w:rsidRPr="00CC2B47" w:rsidRDefault="00ED4C99" w:rsidP="00ED4C99">
      <w:pPr>
        <w:jc w:val="both"/>
        <w:rPr>
          <w:rFonts w:ascii="Segoe UI" w:hAnsi="Segoe UI" w:cs="Segoe UI"/>
          <w:b/>
          <w:color w:val="000000"/>
          <w:sz w:val="24"/>
          <w:szCs w:val="24"/>
        </w:rPr>
      </w:pPr>
      <w:r w:rsidRPr="00CC2B47">
        <w:rPr>
          <w:rFonts w:ascii="Segoe UI" w:hAnsi="Segoe UI" w:cs="Segoe UI"/>
          <w:szCs w:val="20"/>
          <w:lang w:val="en-US"/>
        </w:rPr>
        <w:t>Source: Authors, 202</w:t>
      </w:r>
      <w:r w:rsidRPr="00CC2B47">
        <w:rPr>
          <w:rFonts w:ascii="Segoe UI" w:hAnsi="Segoe UI" w:cs="Segoe UI"/>
          <w:szCs w:val="20"/>
        </w:rPr>
        <w:t>2</w:t>
      </w:r>
      <w:r w:rsidRPr="00CC2B47">
        <w:rPr>
          <w:rFonts w:ascii="Segoe UI" w:hAnsi="Segoe UI" w:cs="Segoe UI"/>
          <w:b/>
          <w:color w:val="000000"/>
          <w:sz w:val="24"/>
          <w:szCs w:val="24"/>
        </w:rPr>
        <w:tab/>
      </w:r>
    </w:p>
    <w:p w:rsidR="00ED4C99" w:rsidRDefault="00ED4C99" w:rsidP="00ED4C99">
      <w:pPr>
        <w:jc w:val="both"/>
        <w:rPr>
          <w:b/>
          <w:color w:val="000000"/>
          <w:sz w:val="24"/>
          <w:szCs w:val="24"/>
        </w:rPr>
      </w:pPr>
    </w:p>
    <w:p w:rsidR="00ED4C99" w:rsidRPr="00833547" w:rsidRDefault="00ED4C99" w:rsidP="00585D0B">
      <w:pPr>
        <w:ind w:firstLine="720"/>
        <w:jc w:val="both"/>
        <w:rPr>
          <w:rFonts w:ascii="Segoe UI" w:hAnsi="Segoe UI" w:cs="Segoe UI"/>
          <w:szCs w:val="20"/>
        </w:rPr>
      </w:pPr>
      <w:r w:rsidRPr="00833547">
        <w:rPr>
          <w:rFonts w:ascii="Segoe UI" w:hAnsi="Segoe UI" w:cs="Segoe UI"/>
          <w:bCs/>
          <w:sz w:val="24"/>
          <w:szCs w:val="24"/>
        </w:rPr>
        <w:t xml:space="preserve">Testing the accuracy and dependability of the data is the first thing that may be done in this examination. To view the desired </w:t>
      </w:r>
      <w:r w:rsidRPr="00833547">
        <w:rPr>
          <w:rFonts w:ascii="Segoe UI" w:hAnsi="Segoe UI" w:cs="Segoe UI"/>
          <w:bCs/>
          <w:sz w:val="24"/>
          <w:szCs w:val="24"/>
        </w:rPr>
        <w:lastRenderedPageBreak/>
        <w:t>results, each indication of each variable must be verified. The loading factor and composite reliability are two parameters that may be utilized in PLS-SEM to examine the validity and reliability of data. The convergence validity for each loading factor is displayed in Table 2. In the table above, all loading factors have values greater than 0.700. This has an impact on the items that were chosen, which have scored over 0.700, indicating that all the variables employed in this study fulfill the standards for validity and reliability.</w:t>
      </w:r>
      <w:r w:rsidRPr="00833547">
        <w:rPr>
          <w:rFonts w:ascii="Segoe UI" w:hAnsi="Segoe UI" w:cs="Segoe UI"/>
          <w:bCs/>
          <w:sz w:val="24"/>
          <w:szCs w:val="24"/>
          <w:lang w:val="en-US"/>
        </w:rPr>
        <w:t xml:space="preserve"> </w:t>
      </w:r>
      <w:proofErr w:type="gramStart"/>
      <w:r w:rsidRPr="00833547">
        <w:rPr>
          <w:rFonts w:ascii="Segoe UI" w:hAnsi="Segoe UI" w:cs="Segoe UI"/>
          <w:bCs/>
          <w:sz w:val="24"/>
          <w:szCs w:val="24"/>
          <w:lang w:val="en-US"/>
        </w:rPr>
        <w:t>C</w:t>
      </w:r>
      <w:r w:rsidRPr="00833547">
        <w:rPr>
          <w:rFonts w:ascii="Segoe UI" w:hAnsi="Segoe UI" w:cs="Segoe UI"/>
          <w:bCs/>
          <w:sz w:val="24"/>
          <w:szCs w:val="24"/>
        </w:rPr>
        <w:t>omposite reliability (CR) as a gauge of construct consistency.</w:t>
      </w:r>
      <w:proofErr w:type="gramEnd"/>
      <w:r w:rsidRPr="00833547">
        <w:rPr>
          <w:rFonts w:ascii="Segoe UI" w:hAnsi="Segoe UI" w:cs="Segoe UI"/>
          <w:bCs/>
          <w:sz w:val="24"/>
          <w:szCs w:val="24"/>
        </w:rPr>
        <w:t xml:space="preserve"> If a number exceeding 0.7 is displayed in the data (CR), certain conditions are acceptable. Based on Table 2, the value (CR) displays the numbers 0.822 to 0.879, indicating that the value can be observed above 0.7 and that the findings demonstrate good consistency between constructions, specifically 0.606 to 0.793, indicating that it satisfies the AVE criteria</w:t>
      </w:r>
      <w:r w:rsidRPr="00833547">
        <w:rPr>
          <w:rFonts w:ascii="Segoe UI" w:hAnsi="Segoe UI" w:cs="Segoe UI"/>
          <w:bCs/>
          <w:sz w:val="24"/>
          <w:szCs w:val="24"/>
          <w:lang w:val="en-US"/>
        </w:rPr>
        <w:t>.</w:t>
      </w:r>
    </w:p>
    <w:p w:rsidR="00ED4C99" w:rsidRDefault="00ED4C99" w:rsidP="00ED4C99">
      <w:pPr>
        <w:keepNext/>
        <w:pBdr>
          <w:top w:val="none" w:sz="0" w:space="0" w:color="000000"/>
          <w:left w:val="nil"/>
          <w:bottom w:val="nil"/>
          <w:right w:val="nil"/>
          <w:between w:val="nil"/>
        </w:pBdr>
        <w:rPr>
          <w:b/>
          <w:color w:val="000000"/>
          <w:sz w:val="24"/>
          <w:szCs w:val="24"/>
          <w:lang w:val="en-US"/>
        </w:rPr>
      </w:pPr>
      <w:r>
        <w:rPr>
          <w:b/>
          <w:color w:val="000000"/>
          <w:sz w:val="24"/>
          <w:szCs w:val="24"/>
          <w:lang w:val="en-US"/>
        </w:rPr>
        <w:lastRenderedPageBreak/>
        <w:t>Discriminant Validity</w:t>
      </w:r>
    </w:p>
    <w:p w:rsidR="00ED4C99" w:rsidRPr="00833547" w:rsidRDefault="00ED4C99" w:rsidP="00ED4C99">
      <w:pPr>
        <w:keepNext/>
        <w:pBdr>
          <w:top w:val="none" w:sz="0" w:space="0" w:color="000000"/>
          <w:left w:val="nil"/>
          <w:bottom w:val="nil"/>
          <w:right w:val="nil"/>
          <w:between w:val="nil"/>
        </w:pBdr>
        <w:ind w:firstLine="720"/>
        <w:jc w:val="both"/>
        <w:rPr>
          <w:rFonts w:ascii="Segoe UI" w:hAnsi="Segoe UI" w:cs="Segoe UI"/>
          <w:bCs/>
          <w:color w:val="000000"/>
          <w:sz w:val="24"/>
          <w:szCs w:val="24"/>
          <w:lang w:val="en-US"/>
        </w:rPr>
      </w:pPr>
      <w:r w:rsidRPr="00833547">
        <w:rPr>
          <w:rFonts w:ascii="Segoe UI" w:hAnsi="Segoe UI" w:cs="Segoe UI"/>
          <w:bCs/>
          <w:color w:val="000000"/>
          <w:sz w:val="24"/>
          <w:szCs w:val="24"/>
          <w:lang w:val="en-US"/>
        </w:rPr>
        <w:t xml:space="preserve">The Art Collection variable had the highest value in the Discriminant test findings, followed by the Lifestyle variable at 0.855, the Hedonic variable at 0.804, the Visit Intention variable at 0.890, the Revisit Intention variable at 0.804, and the Visit Decision variable at 0.770. If compared to the other latent constructs, each indicator question has the largest loading factor value for the latent construct under examination. Therefore, it may be claimed that the discriminant validity is valid </w:t>
      </w:r>
      <w:r w:rsidRPr="00833547">
        <w:rPr>
          <w:rFonts w:ascii="Segoe UI" w:hAnsi="Segoe UI" w:cs="Segoe UI"/>
          <w:bCs/>
          <w:color w:val="000000"/>
          <w:sz w:val="24"/>
          <w:szCs w:val="24"/>
          <w:lang w:val="en-US"/>
        </w:rPr>
        <w:fldChar w:fldCharType="begin" w:fldLock="1"/>
      </w:r>
      <w:r w:rsidR="00CC2B47">
        <w:rPr>
          <w:rFonts w:ascii="Segoe UI" w:hAnsi="Segoe UI" w:cs="Segoe UI"/>
          <w:bCs/>
          <w:color w:val="000000"/>
          <w:sz w:val="24"/>
          <w:szCs w:val="24"/>
          <w:lang w:val="en-US"/>
        </w:rPr>
        <w:instrText>ADDIN CSL_CITATION {"citationItems":[{"id":"ITEM-1","itemData":{"author":[{"dropping-particle":"","family":"Fornell, C., &amp; Larcker","given":"D. F","non-dropping-particle":"","parse-names":false,"suffix":""}],"id":"ITEM-1","issue":"December","issued":{"date-parts":[["1981"]]},"page":"37-39","title":"Evaluating Structural Equation Models with Unobservable Variables and Measurement Error","type":"article-journal","volume":"66"},"uris":["http://www.mendeley.com/documents/?uuid=7f1e0830-34f3-41ff-a17d-369ebab4bf66","http://www.mendeley.com/documents/?uuid=847c8d9d-5737-4128-80f8-ebc1323817c3"]}],"mendeley":{"formattedCitation":"(Fornell, C., &amp; Larcker, 1981)","plainTextFormattedCitation":"(Fornell, C., &amp; Larcker, 1981)","previouslyFormattedCitation":"(Fornell, C., &amp; Larcker, 1981)"},"properties":{"noteIndex":0},"schema":"https://github.com/citation-style-language/schema/raw/master/csl-citation.json"}</w:instrText>
      </w:r>
      <w:r w:rsidRPr="00833547">
        <w:rPr>
          <w:rFonts w:ascii="Segoe UI" w:hAnsi="Segoe UI" w:cs="Segoe UI"/>
          <w:bCs/>
          <w:color w:val="000000"/>
          <w:sz w:val="24"/>
          <w:szCs w:val="24"/>
          <w:lang w:val="en-US"/>
        </w:rPr>
        <w:fldChar w:fldCharType="separate"/>
      </w:r>
      <w:r w:rsidRPr="00833547">
        <w:rPr>
          <w:rFonts w:ascii="Segoe UI" w:hAnsi="Segoe UI" w:cs="Segoe UI"/>
          <w:bCs/>
          <w:noProof/>
          <w:color w:val="000000"/>
          <w:sz w:val="24"/>
          <w:szCs w:val="24"/>
          <w:lang w:val="en-US"/>
        </w:rPr>
        <w:t>(Fornell, C., &amp; Larcker, 1981)</w:t>
      </w:r>
      <w:r w:rsidRPr="00833547">
        <w:rPr>
          <w:rFonts w:ascii="Segoe UI" w:hAnsi="Segoe UI" w:cs="Segoe UI"/>
          <w:bCs/>
          <w:color w:val="000000"/>
          <w:sz w:val="24"/>
          <w:szCs w:val="24"/>
          <w:lang w:val="en-US"/>
        </w:rPr>
        <w:fldChar w:fldCharType="end"/>
      </w:r>
      <w:r w:rsidRPr="00833547">
        <w:rPr>
          <w:rFonts w:ascii="Segoe UI" w:hAnsi="Segoe UI" w:cs="Segoe UI"/>
          <w:bCs/>
          <w:color w:val="000000"/>
          <w:sz w:val="24"/>
          <w:szCs w:val="24"/>
          <w:lang w:val="en-US"/>
        </w:rPr>
        <w:t>.</w:t>
      </w:r>
    </w:p>
    <w:p w:rsidR="00585D0B" w:rsidRDefault="00585D0B" w:rsidP="00ED4C99">
      <w:pPr>
        <w:keepNext/>
        <w:pBdr>
          <w:top w:val="none" w:sz="0" w:space="0" w:color="000000"/>
          <w:left w:val="nil"/>
          <w:bottom w:val="nil"/>
          <w:right w:val="nil"/>
          <w:between w:val="nil"/>
        </w:pBdr>
        <w:spacing w:before="120"/>
        <w:rPr>
          <w:bCs/>
          <w:color w:val="000000"/>
          <w:sz w:val="24"/>
          <w:szCs w:val="24"/>
        </w:rPr>
      </w:pPr>
    </w:p>
    <w:p w:rsidR="00ED4C99" w:rsidRPr="00CC2B47" w:rsidRDefault="00ED4C99" w:rsidP="00ED4C99">
      <w:pPr>
        <w:keepNext/>
        <w:pBdr>
          <w:top w:val="none" w:sz="0" w:space="0" w:color="000000"/>
          <w:left w:val="nil"/>
          <w:bottom w:val="nil"/>
          <w:right w:val="nil"/>
          <w:between w:val="nil"/>
        </w:pBdr>
        <w:spacing w:before="120"/>
        <w:rPr>
          <w:rFonts w:ascii="Segoe UI" w:hAnsi="Segoe UI" w:cs="Segoe UI"/>
          <w:bCs/>
          <w:color w:val="000000"/>
          <w:sz w:val="24"/>
          <w:szCs w:val="24"/>
        </w:rPr>
      </w:pPr>
      <w:r w:rsidRPr="00CC2B47">
        <w:rPr>
          <w:rFonts w:ascii="Segoe UI" w:hAnsi="Segoe UI" w:cs="Segoe UI"/>
          <w:bCs/>
          <w:color w:val="000000"/>
          <w:sz w:val="24"/>
          <w:szCs w:val="24"/>
        </w:rPr>
        <w:t>Table 3: Discriminant Validity</w:t>
      </w:r>
    </w:p>
    <w:tbl>
      <w:tblPr>
        <w:tblW w:w="7360" w:type="dxa"/>
        <w:tblLook w:val="04A0" w:firstRow="1" w:lastRow="0" w:firstColumn="1" w:lastColumn="0" w:noHBand="0" w:noVBand="1"/>
      </w:tblPr>
      <w:tblGrid>
        <w:gridCol w:w="1500"/>
        <w:gridCol w:w="1099"/>
        <w:gridCol w:w="960"/>
        <w:gridCol w:w="960"/>
        <w:gridCol w:w="1032"/>
        <w:gridCol w:w="965"/>
        <w:gridCol w:w="1032"/>
      </w:tblGrid>
      <w:tr w:rsidR="00ED4C99" w:rsidRPr="00CC2B47" w:rsidTr="00ED4C99">
        <w:trPr>
          <w:trHeight w:val="530"/>
        </w:trPr>
        <w:tc>
          <w:tcPr>
            <w:tcW w:w="1500" w:type="dxa"/>
            <w:tcBorders>
              <w:top w:val="single" w:sz="8" w:space="0" w:color="auto"/>
              <w:left w:val="nil"/>
              <w:bottom w:val="single" w:sz="8" w:space="0" w:color="auto"/>
              <w:right w:val="nil"/>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c>
          <w:tcPr>
            <w:tcW w:w="1060" w:type="dxa"/>
            <w:tcBorders>
              <w:top w:val="single" w:sz="8" w:space="0" w:color="auto"/>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Art Collection</w:t>
            </w:r>
          </w:p>
        </w:tc>
        <w:tc>
          <w:tcPr>
            <w:tcW w:w="960" w:type="dxa"/>
            <w:tcBorders>
              <w:top w:val="single" w:sz="8" w:space="0" w:color="auto"/>
              <w:left w:val="nil"/>
              <w:bottom w:val="single" w:sz="8" w:space="0" w:color="auto"/>
              <w:right w:val="nil"/>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Hedonic</w:t>
            </w:r>
          </w:p>
        </w:tc>
        <w:tc>
          <w:tcPr>
            <w:tcW w:w="960" w:type="dxa"/>
            <w:tcBorders>
              <w:top w:val="single" w:sz="8" w:space="0" w:color="auto"/>
              <w:left w:val="nil"/>
              <w:bottom w:val="single" w:sz="8" w:space="0" w:color="auto"/>
              <w:right w:val="nil"/>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Lifestyle</w:t>
            </w:r>
          </w:p>
        </w:tc>
        <w:tc>
          <w:tcPr>
            <w:tcW w:w="960" w:type="dxa"/>
            <w:tcBorders>
              <w:top w:val="single" w:sz="8" w:space="0" w:color="auto"/>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Revisit Intention</w:t>
            </w:r>
          </w:p>
        </w:tc>
        <w:tc>
          <w:tcPr>
            <w:tcW w:w="960" w:type="dxa"/>
            <w:tcBorders>
              <w:top w:val="single" w:sz="8" w:space="0" w:color="auto"/>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Decision</w:t>
            </w:r>
          </w:p>
        </w:tc>
        <w:tc>
          <w:tcPr>
            <w:tcW w:w="960" w:type="dxa"/>
            <w:tcBorders>
              <w:top w:val="single" w:sz="8" w:space="0" w:color="auto"/>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Intention</w:t>
            </w:r>
          </w:p>
        </w:tc>
      </w:tr>
      <w:tr w:rsidR="00ED4C99" w:rsidRPr="00CC2B47" w:rsidTr="00ED4C99">
        <w:trPr>
          <w:trHeight w:val="290"/>
        </w:trPr>
        <w:tc>
          <w:tcPr>
            <w:tcW w:w="150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Art Collection</w:t>
            </w:r>
          </w:p>
        </w:tc>
        <w:tc>
          <w:tcPr>
            <w:tcW w:w="1060" w:type="dxa"/>
            <w:tcBorders>
              <w:top w:val="nil"/>
              <w:left w:val="nil"/>
              <w:bottom w:val="nil"/>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0,808</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r>
      <w:tr w:rsidR="00ED4C99" w:rsidRPr="00CC2B47" w:rsidTr="00ED4C99">
        <w:trPr>
          <w:trHeight w:val="290"/>
        </w:trPr>
        <w:tc>
          <w:tcPr>
            <w:tcW w:w="150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Hedonic</w:t>
            </w:r>
          </w:p>
        </w:tc>
        <w:tc>
          <w:tcPr>
            <w:tcW w:w="10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0,412</w:t>
            </w:r>
          </w:p>
        </w:tc>
        <w:tc>
          <w:tcPr>
            <w:tcW w:w="960" w:type="dxa"/>
            <w:tcBorders>
              <w:top w:val="nil"/>
              <w:left w:val="nil"/>
              <w:bottom w:val="nil"/>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0,804</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r>
      <w:tr w:rsidR="00ED4C99" w:rsidRPr="00CC2B47" w:rsidTr="00ED4C99">
        <w:trPr>
          <w:trHeight w:val="290"/>
        </w:trPr>
        <w:tc>
          <w:tcPr>
            <w:tcW w:w="150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Lifestyle</w:t>
            </w:r>
          </w:p>
        </w:tc>
        <w:tc>
          <w:tcPr>
            <w:tcW w:w="10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0,614</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0,483</w:t>
            </w:r>
          </w:p>
        </w:tc>
        <w:tc>
          <w:tcPr>
            <w:tcW w:w="960" w:type="dxa"/>
            <w:tcBorders>
              <w:top w:val="nil"/>
              <w:left w:val="nil"/>
              <w:bottom w:val="nil"/>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0,855</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r>
      <w:tr w:rsidR="00ED4C99" w:rsidRPr="00CC2B47" w:rsidTr="00ED4C99">
        <w:trPr>
          <w:trHeight w:val="290"/>
        </w:trPr>
        <w:tc>
          <w:tcPr>
            <w:tcW w:w="150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Revisit Intention</w:t>
            </w:r>
          </w:p>
        </w:tc>
        <w:tc>
          <w:tcPr>
            <w:tcW w:w="10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0,449</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0,651</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0,370</w:t>
            </w:r>
          </w:p>
        </w:tc>
        <w:tc>
          <w:tcPr>
            <w:tcW w:w="960" w:type="dxa"/>
            <w:tcBorders>
              <w:top w:val="nil"/>
              <w:left w:val="nil"/>
              <w:bottom w:val="nil"/>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0,804</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r>
      <w:tr w:rsidR="00ED4C99" w:rsidRPr="00CC2B47" w:rsidTr="00ED4C99">
        <w:trPr>
          <w:trHeight w:val="290"/>
        </w:trPr>
        <w:tc>
          <w:tcPr>
            <w:tcW w:w="150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Decision</w:t>
            </w:r>
          </w:p>
        </w:tc>
        <w:tc>
          <w:tcPr>
            <w:tcW w:w="10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0,429</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0,637</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0,470</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0,700</w:t>
            </w:r>
          </w:p>
        </w:tc>
        <w:tc>
          <w:tcPr>
            <w:tcW w:w="960" w:type="dxa"/>
            <w:tcBorders>
              <w:top w:val="nil"/>
              <w:left w:val="nil"/>
              <w:bottom w:val="nil"/>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0,779</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0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Intention</w:t>
            </w:r>
          </w:p>
        </w:tc>
        <w:tc>
          <w:tcPr>
            <w:tcW w:w="106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0,531</w:t>
            </w:r>
          </w:p>
        </w:tc>
        <w:tc>
          <w:tcPr>
            <w:tcW w:w="96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0,580</w:t>
            </w:r>
          </w:p>
        </w:tc>
        <w:tc>
          <w:tcPr>
            <w:tcW w:w="96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0,444</w:t>
            </w:r>
          </w:p>
        </w:tc>
        <w:tc>
          <w:tcPr>
            <w:tcW w:w="96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0,688</w:t>
            </w:r>
          </w:p>
        </w:tc>
        <w:tc>
          <w:tcPr>
            <w:tcW w:w="96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0,577</w:t>
            </w:r>
          </w:p>
        </w:tc>
        <w:tc>
          <w:tcPr>
            <w:tcW w:w="960" w:type="dxa"/>
            <w:tcBorders>
              <w:top w:val="nil"/>
              <w:left w:val="nil"/>
              <w:bottom w:val="single" w:sz="8" w:space="0" w:color="auto"/>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0,890</w:t>
            </w:r>
          </w:p>
        </w:tc>
      </w:tr>
    </w:tbl>
    <w:p w:rsidR="00ED4C99" w:rsidRPr="00585D0B" w:rsidRDefault="00585D0B" w:rsidP="00585D0B">
      <w:pPr>
        <w:keepNext/>
        <w:pBdr>
          <w:top w:val="none" w:sz="0" w:space="0" w:color="000000"/>
          <w:left w:val="nil"/>
          <w:bottom w:val="nil"/>
          <w:right w:val="nil"/>
          <w:between w:val="nil"/>
        </w:pBdr>
        <w:spacing w:before="120"/>
        <w:rPr>
          <w:bCs/>
          <w:color w:val="000000"/>
          <w:szCs w:val="20"/>
        </w:rPr>
      </w:pPr>
      <w:r>
        <w:rPr>
          <w:bCs/>
          <w:color w:val="000000"/>
          <w:szCs w:val="20"/>
        </w:rPr>
        <w:lastRenderedPageBreak/>
        <w:t>Source: Authors, 2022</w:t>
      </w:r>
    </w:p>
    <w:p w:rsidR="00ED4C99" w:rsidRDefault="00ED4C99" w:rsidP="00ED4C99">
      <w:pPr>
        <w:keepNext/>
        <w:pBdr>
          <w:top w:val="none" w:sz="0" w:space="0" w:color="000000"/>
          <w:left w:val="nil"/>
          <w:bottom w:val="nil"/>
          <w:right w:val="nil"/>
          <w:between w:val="nil"/>
        </w:pBdr>
        <w:rPr>
          <w:b/>
          <w:color w:val="000000"/>
          <w:sz w:val="24"/>
          <w:szCs w:val="24"/>
        </w:rPr>
      </w:pPr>
      <w:r>
        <w:rPr>
          <w:b/>
          <w:color w:val="000000"/>
          <w:sz w:val="24"/>
          <w:szCs w:val="24"/>
        </w:rPr>
        <w:t>R</w:t>
      </w:r>
      <w:r w:rsidRPr="003B272B">
        <w:rPr>
          <w:b/>
          <w:color w:val="000000"/>
          <w:sz w:val="24"/>
          <w:szCs w:val="24"/>
          <w:vertAlign w:val="superscript"/>
        </w:rPr>
        <w:t>2</w:t>
      </w:r>
      <w:r>
        <w:rPr>
          <w:b/>
          <w:color w:val="000000"/>
          <w:sz w:val="24"/>
          <w:szCs w:val="24"/>
        </w:rPr>
        <w:t xml:space="preserve"> Result</w:t>
      </w:r>
    </w:p>
    <w:p w:rsidR="00ED4C99" w:rsidRPr="00833547" w:rsidRDefault="00ED4C99" w:rsidP="00ED4C99">
      <w:pPr>
        <w:keepNext/>
        <w:pBdr>
          <w:top w:val="none" w:sz="0" w:space="0" w:color="000000"/>
          <w:left w:val="nil"/>
          <w:bottom w:val="nil"/>
          <w:right w:val="nil"/>
          <w:between w:val="nil"/>
        </w:pBdr>
        <w:ind w:firstLine="709"/>
        <w:jc w:val="both"/>
        <w:rPr>
          <w:rFonts w:ascii="Segoe UI" w:hAnsi="Segoe UI" w:cs="Segoe UI"/>
          <w:bCs/>
          <w:color w:val="000000"/>
          <w:sz w:val="24"/>
          <w:szCs w:val="24"/>
        </w:rPr>
      </w:pPr>
      <w:r w:rsidRPr="00833547">
        <w:rPr>
          <w:rFonts w:ascii="Segoe UI" w:hAnsi="Segoe UI" w:cs="Segoe UI"/>
          <w:bCs/>
          <w:color w:val="000000"/>
          <w:sz w:val="24"/>
          <w:szCs w:val="24"/>
        </w:rPr>
        <w:t>The effect of exogenous variables on endogenous variables is measured using the R-square value (R2). The values of R2 Revisit Intention 0.583, Visit Decision 0.488, and Visit Intention 0.440 are displayed in Table 7. This indicates a 58.3%, 48.8%, and 44% effect of lifestyle, art collection, and hedonic factors on visit intention, visit decision and revisit intention, respectively.</w:t>
      </w:r>
    </w:p>
    <w:p w:rsidR="00ED4C99" w:rsidRDefault="00ED4C99" w:rsidP="00ED4C99">
      <w:pPr>
        <w:keepNext/>
        <w:pBdr>
          <w:top w:val="none" w:sz="0" w:space="0" w:color="000000"/>
          <w:left w:val="nil"/>
          <w:bottom w:val="nil"/>
          <w:right w:val="nil"/>
          <w:between w:val="nil"/>
        </w:pBdr>
        <w:ind w:firstLine="709"/>
        <w:jc w:val="both"/>
        <w:rPr>
          <w:bCs/>
          <w:color w:val="000000"/>
          <w:sz w:val="24"/>
          <w:szCs w:val="24"/>
        </w:rPr>
      </w:pPr>
    </w:p>
    <w:p w:rsidR="00ED4C99" w:rsidRPr="004D5FCB" w:rsidRDefault="00ED4C99" w:rsidP="00ED4C99">
      <w:pPr>
        <w:keepNext/>
        <w:pBdr>
          <w:top w:val="none" w:sz="0" w:space="0" w:color="000000"/>
          <w:left w:val="nil"/>
          <w:bottom w:val="nil"/>
          <w:right w:val="nil"/>
          <w:between w:val="nil"/>
        </w:pBdr>
        <w:jc w:val="both"/>
        <w:rPr>
          <w:bCs/>
          <w:color w:val="000000"/>
          <w:sz w:val="24"/>
          <w:szCs w:val="24"/>
        </w:rPr>
      </w:pPr>
      <w:r>
        <w:rPr>
          <w:bCs/>
          <w:color w:val="000000"/>
          <w:sz w:val="24"/>
          <w:szCs w:val="24"/>
        </w:rPr>
        <w:t>Table 4: R</w:t>
      </w:r>
      <w:r w:rsidRPr="003B272B">
        <w:rPr>
          <w:bCs/>
          <w:color w:val="000000"/>
          <w:sz w:val="24"/>
          <w:szCs w:val="24"/>
          <w:vertAlign w:val="superscript"/>
        </w:rPr>
        <w:t>2</w:t>
      </w:r>
      <w:r>
        <w:rPr>
          <w:bCs/>
          <w:color w:val="000000"/>
          <w:sz w:val="24"/>
          <w:szCs w:val="24"/>
          <w:vertAlign w:val="superscript"/>
        </w:rPr>
        <w:t xml:space="preserve"> </w:t>
      </w:r>
      <w:r>
        <w:rPr>
          <w:bCs/>
          <w:color w:val="000000"/>
          <w:sz w:val="24"/>
          <w:szCs w:val="24"/>
        </w:rPr>
        <w:t>Result</w:t>
      </w:r>
    </w:p>
    <w:tbl>
      <w:tblPr>
        <w:tblW w:w="5100" w:type="dxa"/>
        <w:tblInd w:w="93" w:type="dxa"/>
        <w:tblBorders>
          <w:top w:val="single" w:sz="4" w:space="0" w:color="auto"/>
          <w:bottom w:val="single" w:sz="4" w:space="0" w:color="auto"/>
        </w:tblBorders>
        <w:tblLook w:val="04A0" w:firstRow="1" w:lastRow="0" w:firstColumn="1" w:lastColumn="0" w:noHBand="0" w:noVBand="1"/>
      </w:tblPr>
      <w:tblGrid>
        <w:gridCol w:w="1900"/>
        <w:gridCol w:w="1340"/>
        <w:gridCol w:w="1860"/>
      </w:tblGrid>
      <w:tr w:rsidR="00ED4C99" w:rsidRPr="003B272B" w:rsidTr="00ED4C99">
        <w:trPr>
          <w:trHeight w:val="300"/>
        </w:trPr>
        <w:tc>
          <w:tcPr>
            <w:tcW w:w="1900" w:type="dxa"/>
            <w:tcBorders>
              <w:top w:val="single" w:sz="4" w:space="0" w:color="auto"/>
              <w:bottom w:val="single" w:sz="4" w:space="0" w:color="auto"/>
            </w:tcBorders>
            <w:shd w:val="clear" w:color="auto" w:fill="auto"/>
            <w:noWrap/>
            <w:vAlign w:val="bottom"/>
            <w:hideMark/>
          </w:tcPr>
          <w:p w:rsidR="00ED4C99" w:rsidRPr="00CC2B47" w:rsidRDefault="00ED4C99" w:rsidP="00ED4C99">
            <w:pPr>
              <w:rPr>
                <w:rFonts w:ascii="Segoe UI" w:hAnsi="Segoe UI" w:cs="Segoe UI"/>
                <w:b/>
                <w:bCs/>
                <w:color w:val="000000"/>
                <w:szCs w:val="20"/>
                <w:lang w:eastAsia="id-ID"/>
              </w:rPr>
            </w:pPr>
            <w:r w:rsidRPr="00CC2B47">
              <w:rPr>
                <w:rFonts w:ascii="Segoe UI" w:hAnsi="Segoe UI" w:cs="Segoe UI"/>
                <w:b/>
                <w:bCs/>
                <w:color w:val="000000"/>
                <w:szCs w:val="20"/>
                <w:lang w:eastAsia="id-ID"/>
              </w:rPr>
              <w:t> </w:t>
            </w:r>
          </w:p>
        </w:tc>
        <w:tc>
          <w:tcPr>
            <w:tcW w:w="1340" w:type="dxa"/>
            <w:tcBorders>
              <w:top w:val="single" w:sz="4" w:space="0" w:color="auto"/>
              <w:bottom w:val="single" w:sz="4" w:space="0" w:color="auto"/>
            </w:tcBorders>
            <w:shd w:val="clear" w:color="auto" w:fill="auto"/>
            <w:noWrap/>
            <w:vAlign w:val="bottom"/>
            <w:hideMark/>
          </w:tcPr>
          <w:p w:rsidR="00ED4C99" w:rsidRPr="00CC2B47" w:rsidRDefault="00ED4C99" w:rsidP="00ED4C99">
            <w:pPr>
              <w:rPr>
                <w:rFonts w:ascii="Segoe UI" w:hAnsi="Segoe UI" w:cs="Segoe UI"/>
                <w:b/>
                <w:bCs/>
                <w:color w:val="000000"/>
                <w:szCs w:val="20"/>
                <w:lang w:eastAsia="id-ID"/>
              </w:rPr>
            </w:pPr>
            <w:r w:rsidRPr="00CC2B47">
              <w:rPr>
                <w:rFonts w:ascii="Segoe UI" w:hAnsi="Segoe UI" w:cs="Segoe UI"/>
                <w:b/>
                <w:bCs/>
                <w:color w:val="000000"/>
                <w:szCs w:val="20"/>
                <w:lang w:eastAsia="id-ID"/>
              </w:rPr>
              <w:t>R Square</w:t>
            </w:r>
          </w:p>
        </w:tc>
        <w:tc>
          <w:tcPr>
            <w:tcW w:w="1860" w:type="dxa"/>
            <w:tcBorders>
              <w:top w:val="single" w:sz="4" w:space="0" w:color="auto"/>
              <w:bottom w:val="single" w:sz="4" w:space="0" w:color="auto"/>
            </w:tcBorders>
            <w:shd w:val="clear" w:color="auto" w:fill="auto"/>
            <w:noWrap/>
            <w:vAlign w:val="bottom"/>
            <w:hideMark/>
          </w:tcPr>
          <w:p w:rsidR="00ED4C99" w:rsidRPr="00CC2B47" w:rsidRDefault="00ED4C99" w:rsidP="00ED4C99">
            <w:pPr>
              <w:rPr>
                <w:rFonts w:ascii="Segoe UI" w:hAnsi="Segoe UI" w:cs="Segoe UI"/>
                <w:b/>
                <w:bCs/>
                <w:color w:val="000000"/>
                <w:szCs w:val="20"/>
                <w:lang w:eastAsia="id-ID"/>
              </w:rPr>
            </w:pPr>
            <w:r w:rsidRPr="00CC2B47">
              <w:rPr>
                <w:rFonts w:ascii="Segoe UI" w:hAnsi="Segoe UI" w:cs="Segoe UI"/>
                <w:b/>
                <w:bCs/>
                <w:color w:val="000000"/>
                <w:szCs w:val="20"/>
                <w:lang w:eastAsia="id-ID"/>
              </w:rPr>
              <w:t>R Square Adjusted</w:t>
            </w:r>
          </w:p>
        </w:tc>
      </w:tr>
      <w:tr w:rsidR="00ED4C99" w:rsidRPr="003B272B" w:rsidTr="00ED4C99">
        <w:trPr>
          <w:trHeight w:val="300"/>
        </w:trPr>
        <w:tc>
          <w:tcPr>
            <w:tcW w:w="1900" w:type="dxa"/>
            <w:tcBorders>
              <w:top w:val="single" w:sz="4" w:space="0" w:color="auto"/>
            </w:tcBorders>
            <w:shd w:val="clear" w:color="auto" w:fill="auto"/>
            <w:noWrap/>
            <w:vAlign w:val="bottom"/>
            <w:hideMark/>
          </w:tcPr>
          <w:p w:rsidR="00ED4C99" w:rsidRPr="00CC2B47" w:rsidRDefault="00ED4C99" w:rsidP="00ED4C99">
            <w:pPr>
              <w:rPr>
                <w:rFonts w:ascii="Segoe UI" w:hAnsi="Segoe UI" w:cs="Segoe UI"/>
                <w:color w:val="000000"/>
                <w:szCs w:val="20"/>
                <w:lang w:eastAsia="id-ID"/>
              </w:rPr>
            </w:pPr>
            <w:r w:rsidRPr="00CC2B47">
              <w:rPr>
                <w:rFonts w:ascii="Segoe UI" w:hAnsi="Segoe UI" w:cs="Segoe UI"/>
                <w:color w:val="000000"/>
                <w:szCs w:val="20"/>
                <w:lang w:eastAsia="id-ID"/>
              </w:rPr>
              <w:t>Revisit Intention</w:t>
            </w:r>
          </w:p>
        </w:tc>
        <w:tc>
          <w:tcPr>
            <w:tcW w:w="1340" w:type="dxa"/>
            <w:tcBorders>
              <w:top w:val="single" w:sz="4" w:space="0" w:color="auto"/>
            </w:tcBorders>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0,583</w:t>
            </w:r>
          </w:p>
        </w:tc>
        <w:tc>
          <w:tcPr>
            <w:tcW w:w="1860" w:type="dxa"/>
            <w:tcBorders>
              <w:top w:val="single" w:sz="4" w:space="0" w:color="auto"/>
            </w:tcBorders>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0,571</w:t>
            </w:r>
          </w:p>
        </w:tc>
      </w:tr>
      <w:tr w:rsidR="00ED4C99" w:rsidRPr="003B272B" w:rsidTr="00ED4C99">
        <w:trPr>
          <w:trHeight w:val="300"/>
        </w:trPr>
        <w:tc>
          <w:tcPr>
            <w:tcW w:w="1900" w:type="dxa"/>
            <w:shd w:val="clear" w:color="auto" w:fill="auto"/>
            <w:noWrap/>
            <w:vAlign w:val="bottom"/>
            <w:hideMark/>
          </w:tcPr>
          <w:p w:rsidR="00ED4C99" w:rsidRPr="00CC2B47" w:rsidRDefault="00ED4C99" w:rsidP="00ED4C99">
            <w:pPr>
              <w:rPr>
                <w:rFonts w:ascii="Segoe UI" w:hAnsi="Segoe UI" w:cs="Segoe UI"/>
                <w:color w:val="000000"/>
                <w:szCs w:val="20"/>
                <w:lang w:eastAsia="id-ID"/>
              </w:rPr>
            </w:pPr>
            <w:r w:rsidRPr="00CC2B47">
              <w:rPr>
                <w:rFonts w:ascii="Segoe UI" w:hAnsi="Segoe UI" w:cs="Segoe UI"/>
                <w:color w:val="000000"/>
                <w:szCs w:val="20"/>
                <w:lang w:eastAsia="id-ID"/>
              </w:rPr>
              <w:t>Visit Decision</w:t>
            </w:r>
          </w:p>
        </w:tc>
        <w:tc>
          <w:tcPr>
            <w:tcW w:w="1340" w:type="dxa"/>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0,488</w:t>
            </w:r>
          </w:p>
        </w:tc>
        <w:tc>
          <w:tcPr>
            <w:tcW w:w="1860" w:type="dxa"/>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0,474</w:t>
            </w:r>
          </w:p>
        </w:tc>
      </w:tr>
      <w:tr w:rsidR="00ED4C99" w:rsidRPr="003B272B" w:rsidTr="00ED4C99">
        <w:trPr>
          <w:trHeight w:val="300"/>
        </w:trPr>
        <w:tc>
          <w:tcPr>
            <w:tcW w:w="1900" w:type="dxa"/>
            <w:shd w:val="clear" w:color="auto" w:fill="auto"/>
            <w:noWrap/>
            <w:vAlign w:val="bottom"/>
            <w:hideMark/>
          </w:tcPr>
          <w:p w:rsidR="00ED4C99" w:rsidRPr="00CC2B47" w:rsidRDefault="00ED4C99" w:rsidP="00ED4C99">
            <w:pPr>
              <w:rPr>
                <w:rFonts w:ascii="Segoe UI" w:hAnsi="Segoe UI" w:cs="Segoe UI"/>
                <w:color w:val="000000"/>
                <w:szCs w:val="20"/>
                <w:lang w:eastAsia="id-ID"/>
              </w:rPr>
            </w:pPr>
            <w:r w:rsidRPr="00CC2B47">
              <w:rPr>
                <w:rFonts w:ascii="Segoe UI" w:hAnsi="Segoe UI" w:cs="Segoe UI"/>
                <w:color w:val="000000"/>
                <w:szCs w:val="20"/>
                <w:lang w:eastAsia="id-ID"/>
              </w:rPr>
              <w:t>Visit Intention</w:t>
            </w:r>
          </w:p>
        </w:tc>
        <w:tc>
          <w:tcPr>
            <w:tcW w:w="1340" w:type="dxa"/>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0,440</w:t>
            </w:r>
          </w:p>
        </w:tc>
        <w:tc>
          <w:tcPr>
            <w:tcW w:w="1860" w:type="dxa"/>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0,429</w:t>
            </w:r>
          </w:p>
        </w:tc>
      </w:tr>
    </w:tbl>
    <w:p w:rsidR="00ED4C99" w:rsidRPr="00585D0B" w:rsidRDefault="00585D0B" w:rsidP="00585D0B">
      <w:pPr>
        <w:keepNext/>
        <w:pBdr>
          <w:top w:val="none" w:sz="0" w:space="0" w:color="000000"/>
          <w:left w:val="nil"/>
          <w:bottom w:val="nil"/>
          <w:right w:val="nil"/>
          <w:between w:val="nil"/>
        </w:pBdr>
        <w:spacing w:before="120"/>
        <w:rPr>
          <w:bCs/>
          <w:color w:val="000000"/>
          <w:szCs w:val="20"/>
        </w:rPr>
      </w:pPr>
      <w:r>
        <w:rPr>
          <w:bCs/>
          <w:color w:val="000000"/>
          <w:szCs w:val="20"/>
        </w:rPr>
        <w:t>Source: Authors, 2022</w:t>
      </w:r>
    </w:p>
    <w:p w:rsidR="00ED4C99" w:rsidRPr="00065068" w:rsidRDefault="00ED4C99" w:rsidP="00ED4C99">
      <w:pPr>
        <w:jc w:val="both"/>
        <w:rPr>
          <w:b/>
          <w:sz w:val="24"/>
          <w:szCs w:val="24"/>
          <w:lang w:val="en-US"/>
        </w:rPr>
      </w:pPr>
      <w:r w:rsidRPr="00065068">
        <w:rPr>
          <w:b/>
          <w:sz w:val="24"/>
          <w:szCs w:val="24"/>
          <w:lang w:val="en-US"/>
        </w:rPr>
        <w:t>Model Fit</w:t>
      </w:r>
    </w:p>
    <w:p w:rsidR="00ED4C99" w:rsidRPr="00833547" w:rsidRDefault="00ED4C99" w:rsidP="00ED4C99">
      <w:pPr>
        <w:ind w:firstLine="720"/>
        <w:jc w:val="both"/>
        <w:rPr>
          <w:rFonts w:ascii="Segoe UI" w:eastAsia="Calibri" w:hAnsi="Segoe UI" w:cs="Segoe UI"/>
          <w:sz w:val="24"/>
          <w:szCs w:val="24"/>
          <w:lang w:val="en-ID"/>
        </w:rPr>
      </w:pPr>
      <w:r w:rsidRPr="00833547">
        <w:rPr>
          <w:rFonts w:ascii="Segoe UI" w:eastAsia="Calibri" w:hAnsi="Segoe UI" w:cs="Segoe UI"/>
          <w:sz w:val="24"/>
          <w:szCs w:val="24"/>
          <w:lang w:val="en-ID"/>
        </w:rPr>
        <w:t xml:space="preserve">The SRMR is a goodness of fit metric for PLS-SEM that </w:t>
      </w:r>
      <w:proofErr w:type="spellStart"/>
      <w:r w:rsidRPr="00833547">
        <w:rPr>
          <w:rFonts w:ascii="Segoe UI" w:eastAsia="Calibri" w:hAnsi="Segoe UI" w:cs="Segoe UI"/>
          <w:sz w:val="24"/>
          <w:szCs w:val="24"/>
          <w:lang w:val="en-ID"/>
        </w:rPr>
        <w:t>Henseler</w:t>
      </w:r>
      <w:proofErr w:type="spellEnd"/>
      <w:r w:rsidRPr="00833547">
        <w:rPr>
          <w:rFonts w:ascii="Segoe UI" w:eastAsia="Calibri" w:hAnsi="Segoe UI" w:cs="Segoe UI"/>
          <w:sz w:val="24"/>
          <w:szCs w:val="24"/>
          <w:lang w:val="en-ID"/>
        </w:rPr>
        <w:t xml:space="preserve"> et al. </w:t>
      </w:r>
      <w:r w:rsidRPr="00833547">
        <w:rPr>
          <w:rFonts w:ascii="Segoe UI" w:eastAsia="Calibri" w:hAnsi="Segoe UI" w:cs="Segoe UI"/>
          <w:sz w:val="24"/>
          <w:szCs w:val="24"/>
          <w:lang w:val="en-ID"/>
        </w:rPr>
        <w:fldChar w:fldCharType="begin" w:fldLock="1"/>
      </w:r>
      <w:r w:rsidR="00CC2B47">
        <w:rPr>
          <w:rFonts w:ascii="Segoe UI" w:eastAsia="Calibri" w:hAnsi="Segoe UI" w:cs="Segoe UI"/>
          <w:sz w:val="24"/>
          <w:szCs w:val="24"/>
          <w:lang w:val="en-ID"/>
        </w:rPr>
        <w:instrText>ADDIN CSL_CITATION {"citationItems":[{"id":"ITEM-1","itemData":{"DOI":"10.1177/1094428114526928","ISSN":"15527425","abstract":"This article addresses Rönkkö and Evermann's criticisms of the partial least squares (PLS) approach to structural equation modeling. We contend that the alleged shortcomings of PLS are not due to problems with the technique, but instead to three problems with Rönkkö and Evermann's study: (a) the adherence to the common factor model, (b) a very limited simulation designs, and (c) overstretched generalizations of their findings. Whereas Rönkkö and Evermann claim to be dispelling myths about PLS, they have in reality created new myths that we, in turn, debunk. By examining their claims, our article contributes to reestablishing a constructive discussion of the PLS method and its properties. We show that PLS does offer advantages for exploratory research and that it is a viable estimator for composite factor models. This can pose an interesting alternative if the common factor model does not hold. Therefore, we can conclude that PLS should continue to be used as an important statistical tool for management and organizational research, as well as other social science disciplines. © The Author(s) 2014.","author":[{"dropping-particle":"","family":"Henseler","given":"Jörg","non-dropping-particle":"","parse-names":false,"suffix":""},{"dropping-particle":"","family":"Dijkstra","given":"Theo K.","non-dropping-particle":"","parse-names":false,"suffix":""},{"dropping-particle":"","family":"Sarstedt","given":"Marko","non-dropping-particle":"","parse-names":false,"suffix":""},{"dropping-particle":"","family":"Ringle","given":"Christian M.","non-dropping-particle":"","parse-names":false,"suffix":""},{"dropping-particle":"","family":"Diamantopoulos","given":"Adamantios","non-dropping-particle":"","parse-names":false,"suffix":""},{"dropping-particle":"","family":"Straub","given":"Detmar W.","non-dropping-particle":"","parse-names":false,"suffix":""},{"dropping-particle":"","family":"Ketchen","given":"David J.","non-dropping-particle":"","parse-names":false,"suffix":""},{"dropping-particle":"","family":"Hair","given":"Joseph F.","non-dropping-particle":"","parse-names":false,"suffix":""},{"dropping-particle":"","family":"Hult","given":"G. Tomas M.","non-dropping-particle":"","parse-names":false,"suffix":""},{"dropping-particle":"","family":"Calantone","given":"Roger J.","non-dropping-particle":"","parse-names":false,"suffix":""}],"container-title":"Organizational Research Methods","id":"ITEM-1","issue":"2","issued":{"date-parts":[["2014"]]},"page":"182-209","title":"Common Beliefs and Reality About PLS: Comments on Rönkkö and Evermann (2013)","type":"article-journal","volume":"17"},"label":"book","suppress-author":1,"uris":["http://www.mendeley.com/documents/?uuid=2f6328d8-7e5d-42c3-8571-2af9e01dd10c","http://www.mendeley.com/documents/?uuid=ba2786ba-5527-4886-a844-7a97bb74e068"]}],"mendeley":{"formattedCitation":"(2014)","plainTextFormattedCitation":"(2014)","previouslyFormattedCitation":"(2014)"},"properties":{"noteIndex":0},"schema":"https://github.com/citation-style-language/schema/raw/master/csl-citation.json"}</w:instrText>
      </w:r>
      <w:r w:rsidRPr="00833547">
        <w:rPr>
          <w:rFonts w:ascii="Segoe UI" w:eastAsia="Calibri" w:hAnsi="Segoe UI" w:cs="Segoe UI"/>
          <w:sz w:val="24"/>
          <w:szCs w:val="24"/>
          <w:lang w:val="en-ID"/>
        </w:rPr>
        <w:fldChar w:fldCharType="separate"/>
      </w:r>
      <w:r w:rsidRPr="00833547">
        <w:rPr>
          <w:rFonts w:ascii="Segoe UI" w:eastAsia="Calibri" w:hAnsi="Segoe UI" w:cs="Segoe UI"/>
          <w:noProof/>
          <w:sz w:val="24"/>
          <w:szCs w:val="24"/>
          <w:lang w:val="en-ID"/>
        </w:rPr>
        <w:t>(2014)</w:t>
      </w:r>
      <w:r w:rsidRPr="00833547">
        <w:rPr>
          <w:rFonts w:ascii="Segoe UI" w:eastAsia="Calibri" w:hAnsi="Segoe UI" w:cs="Segoe UI"/>
          <w:sz w:val="24"/>
          <w:szCs w:val="24"/>
          <w:lang w:val="en-ID"/>
        </w:rPr>
        <w:fldChar w:fldCharType="end"/>
      </w:r>
      <w:r w:rsidRPr="00833547">
        <w:rPr>
          <w:rFonts w:ascii="Segoe UI" w:eastAsia="Calibri" w:hAnsi="Segoe UI" w:cs="Segoe UI"/>
          <w:sz w:val="24"/>
          <w:szCs w:val="24"/>
          <w:lang w:val="en-ID"/>
        </w:rPr>
        <w:t xml:space="preserve"> introduce to prevent model misspecification.</w:t>
      </w:r>
      <w:r w:rsidRPr="00833547">
        <w:rPr>
          <w:rFonts w:ascii="Segoe UI" w:hAnsi="Segoe UI" w:cs="Segoe UI"/>
        </w:rPr>
        <w:t xml:space="preserve"> </w:t>
      </w:r>
      <w:r w:rsidRPr="00833547">
        <w:rPr>
          <w:rFonts w:ascii="Segoe UI" w:eastAsia="Calibri" w:hAnsi="Segoe UI" w:cs="Segoe UI"/>
          <w:sz w:val="24"/>
          <w:szCs w:val="24"/>
          <w:lang w:val="en-ID"/>
        </w:rPr>
        <w:t xml:space="preserve">In a more conservative form, a fit is deemed to be satisfactory at a value of 0.08  </w:t>
      </w:r>
      <w:r w:rsidRPr="00833547">
        <w:rPr>
          <w:rFonts w:ascii="Segoe UI" w:eastAsia="Calibri" w:hAnsi="Segoe UI" w:cs="Segoe UI"/>
          <w:sz w:val="24"/>
          <w:szCs w:val="24"/>
          <w:lang w:val="en-ID"/>
        </w:rPr>
        <w:fldChar w:fldCharType="begin" w:fldLock="1"/>
      </w:r>
      <w:r w:rsidR="00CC2B47">
        <w:rPr>
          <w:rFonts w:ascii="Segoe UI" w:eastAsia="Calibri" w:hAnsi="Segoe UI" w:cs="Segoe UI"/>
          <w:sz w:val="24"/>
          <w:szCs w:val="24"/>
          <w:lang w:val="en-ID"/>
        </w:rPr>
        <w:instrText>ADDIN CSL_CITATION {"citationItems":[{"id":"ITEM-1","itemData":{"author":[{"dropping-particle":"","family":"Hu","given":"Li","non-dropping-particle":"","parse-names":false,"suffix":""},{"dropping-particle":"","family":"Bentler","given":"Peter M","non-dropping-particle":"","parse-names":false,"suffix":""},{"dropping-particle":"","family":"Hu","given":"Li-tze","non-dropping-particle":"","parse-names":false,"suffix":""}],"id":"ITEM-1","issued":{"date-parts":[["2009"]]},"title":"Cutoff criteria for fit indexes in covariance structure analysis : Conventional criteria versus new alternatives Cutoff Criteria for Fit Indexes in Covariance Structure Analysis : Conventional Criteria Versus New Alternatives","type":"article-journal","volume":"5511"},"uris":["http://www.mendeley.com/documents/?uuid=c51e0a8e-ffb5-4dd2-96c7-d68d089ce775","http://www.mendeley.com/documents/?uuid=0881fa12-264b-4301-bddc-7efcf9cfb7a9"]}],"mendeley":{"formattedCitation":"(Hu et al., 2009)","plainTextFormattedCitation":"(Hu et al., 2009)","previouslyFormattedCitation":"(Hu et al., 2009)"},"properties":{"noteIndex":0},"schema":"https://github.com/citation-style-language/schema/raw/master/csl-citation.json"}</w:instrText>
      </w:r>
      <w:r w:rsidRPr="00833547">
        <w:rPr>
          <w:rFonts w:ascii="Segoe UI" w:eastAsia="Calibri" w:hAnsi="Segoe UI" w:cs="Segoe UI"/>
          <w:sz w:val="24"/>
          <w:szCs w:val="24"/>
          <w:lang w:val="en-ID"/>
        </w:rPr>
        <w:fldChar w:fldCharType="separate"/>
      </w:r>
      <w:r w:rsidRPr="00833547">
        <w:rPr>
          <w:rFonts w:ascii="Segoe UI" w:eastAsia="Calibri" w:hAnsi="Segoe UI" w:cs="Segoe UI"/>
          <w:noProof/>
          <w:sz w:val="24"/>
          <w:szCs w:val="24"/>
          <w:lang w:val="en-ID"/>
        </w:rPr>
        <w:t>(Hu et al., 2009)</w:t>
      </w:r>
      <w:r w:rsidRPr="00833547">
        <w:rPr>
          <w:rFonts w:ascii="Segoe UI" w:eastAsia="Calibri" w:hAnsi="Segoe UI" w:cs="Segoe UI"/>
          <w:sz w:val="24"/>
          <w:szCs w:val="24"/>
          <w:lang w:val="en-ID"/>
        </w:rPr>
        <w:fldChar w:fldCharType="end"/>
      </w:r>
      <w:r w:rsidRPr="00833547">
        <w:rPr>
          <w:rFonts w:ascii="Segoe UI" w:eastAsia="Calibri" w:hAnsi="Segoe UI" w:cs="Segoe UI"/>
          <w:sz w:val="24"/>
          <w:szCs w:val="24"/>
          <w:lang w:val="en-ID"/>
        </w:rPr>
        <w:t>.</w:t>
      </w:r>
    </w:p>
    <w:p w:rsidR="00ED4C99" w:rsidRDefault="00ED4C99" w:rsidP="00ED4C99">
      <w:pPr>
        <w:jc w:val="both"/>
        <w:rPr>
          <w:bCs/>
          <w:sz w:val="24"/>
          <w:szCs w:val="24"/>
          <w:lang w:val="en-US"/>
        </w:rPr>
      </w:pPr>
    </w:p>
    <w:p w:rsidR="00ED4C99" w:rsidRPr="00065068" w:rsidRDefault="00ED4C99" w:rsidP="00ED4C99">
      <w:pPr>
        <w:jc w:val="both"/>
        <w:rPr>
          <w:bCs/>
          <w:sz w:val="24"/>
          <w:szCs w:val="24"/>
          <w:lang w:val="en-US"/>
        </w:rPr>
      </w:pPr>
      <w:r>
        <w:rPr>
          <w:bCs/>
          <w:sz w:val="24"/>
          <w:szCs w:val="24"/>
          <w:lang w:val="en-US"/>
        </w:rPr>
        <w:t>Table 5: Model Fit</w:t>
      </w:r>
    </w:p>
    <w:tbl>
      <w:tblPr>
        <w:tblW w:w="5760" w:type="dxa"/>
        <w:tblBorders>
          <w:top w:val="single" w:sz="4" w:space="0" w:color="auto"/>
          <w:bottom w:val="single" w:sz="4" w:space="0" w:color="auto"/>
        </w:tblBorders>
        <w:tblLook w:val="04A0" w:firstRow="1" w:lastRow="0" w:firstColumn="1" w:lastColumn="0" w:noHBand="0" w:noVBand="1"/>
      </w:tblPr>
      <w:tblGrid>
        <w:gridCol w:w="1900"/>
        <w:gridCol w:w="1920"/>
        <w:gridCol w:w="1940"/>
      </w:tblGrid>
      <w:tr w:rsidR="00ED4C99" w:rsidRPr="00933E27" w:rsidTr="00ED4C99">
        <w:trPr>
          <w:trHeight w:val="290"/>
        </w:trPr>
        <w:tc>
          <w:tcPr>
            <w:tcW w:w="1900" w:type="dxa"/>
            <w:tcBorders>
              <w:top w:val="single" w:sz="4" w:space="0" w:color="auto"/>
              <w:bottom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lastRenderedPageBreak/>
              <w:t> </w:t>
            </w:r>
          </w:p>
        </w:tc>
        <w:tc>
          <w:tcPr>
            <w:tcW w:w="1920" w:type="dxa"/>
            <w:tcBorders>
              <w:top w:val="single" w:sz="4"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Saturated Model</w:t>
            </w:r>
          </w:p>
        </w:tc>
        <w:tc>
          <w:tcPr>
            <w:tcW w:w="1940" w:type="dxa"/>
            <w:tcBorders>
              <w:top w:val="single" w:sz="4"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Estimated Model</w:t>
            </w:r>
          </w:p>
        </w:tc>
      </w:tr>
      <w:tr w:rsidR="00ED4C99" w:rsidRPr="00933E27" w:rsidTr="00ED4C99">
        <w:trPr>
          <w:trHeight w:val="290"/>
        </w:trPr>
        <w:tc>
          <w:tcPr>
            <w:tcW w:w="1900" w:type="dxa"/>
            <w:tcBorders>
              <w:top w:val="single" w:sz="4" w:space="0" w:color="auto"/>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SRMR</w:t>
            </w:r>
          </w:p>
        </w:tc>
        <w:tc>
          <w:tcPr>
            <w:tcW w:w="1920" w:type="dxa"/>
            <w:tcBorders>
              <w:top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rPr>
              <w:t>0,083</w:t>
            </w:r>
          </w:p>
        </w:tc>
        <w:tc>
          <w:tcPr>
            <w:tcW w:w="1940" w:type="dxa"/>
            <w:tcBorders>
              <w:top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rPr>
              <w:t>0,088</w:t>
            </w:r>
          </w:p>
        </w:tc>
      </w:tr>
    </w:tbl>
    <w:p w:rsidR="00ED4C99" w:rsidRPr="00585D0B" w:rsidRDefault="00585D0B" w:rsidP="00585D0B">
      <w:pPr>
        <w:keepNext/>
        <w:pBdr>
          <w:top w:val="none" w:sz="0" w:space="0" w:color="000000"/>
          <w:left w:val="nil"/>
          <w:bottom w:val="nil"/>
          <w:right w:val="nil"/>
          <w:between w:val="nil"/>
        </w:pBdr>
        <w:spacing w:before="120"/>
        <w:rPr>
          <w:bCs/>
          <w:color w:val="000000"/>
          <w:szCs w:val="20"/>
        </w:rPr>
      </w:pPr>
      <w:r>
        <w:rPr>
          <w:bCs/>
          <w:color w:val="000000"/>
          <w:szCs w:val="20"/>
        </w:rPr>
        <w:t>Source: Authors, 2022</w:t>
      </w:r>
    </w:p>
    <w:p w:rsidR="00ED4C99" w:rsidRPr="003B2C84" w:rsidRDefault="00ED4C99" w:rsidP="00ED4C99">
      <w:pPr>
        <w:jc w:val="both"/>
        <w:rPr>
          <w:b/>
          <w:sz w:val="24"/>
          <w:szCs w:val="24"/>
          <w:lang w:val="en-US"/>
        </w:rPr>
      </w:pPr>
      <w:r w:rsidRPr="003B2C84">
        <w:rPr>
          <w:b/>
          <w:sz w:val="24"/>
          <w:szCs w:val="24"/>
          <w:lang w:val="en-US"/>
        </w:rPr>
        <w:t>Hypothesis Test</w:t>
      </w:r>
    </w:p>
    <w:p w:rsidR="00ED4C99" w:rsidRPr="00833547" w:rsidRDefault="00ED4C99" w:rsidP="00ED4C99">
      <w:pPr>
        <w:ind w:firstLine="720"/>
        <w:jc w:val="both"/>
        <w:rPr>
          <w:rFonts w:ascii="Segoe UI" w:hAnsi="Segoe UI" w:cs="Segoe UI"/>
          <w:bCs/>
          <w:sz w:val="24"/>
          <w:szCs w:val="24"/>
        </w:rPr>
      </w:pPr>
      <w:r w:rsidRPr="00833547">
        <w:rPr>
          <w:rFonts w:ascii="Segoe UI" w:hAnsi="Segoe UI" w:cs="Segoe UI"/>
          <w:bCs/>
          <w:sz w:val="24"/>
          <w:szCs w:val="24"/>
        </w:rPr>
        <w:t>The t value of 1.96 is the crucial number that serves as the benchmark. The hypothesis is accepted if the t value is above, indicating that there is an impact. The hypothesis is rejected if the t-value is less than 1.96, indicating that there is no impact. Based on the findings of the hypothesis testing, it can be seen in the table above that four hypotheses—Art Collection &gt; Visit Decision, Lifestyle &gt; Visit Decision, Lifestyle &gt; Intention to Return, and Lifestyle &gt; Intention to Visit—have been ruled out.</w:t>
      </w:r>
    </w:p>
    <w:p w:rsidR="00ED4C99" w:rsidRDefault="00ED4C99" w:rsidP="00ED4C99">
      <w:pPr>
        <w:jc w:val="both"/>
        <w:rPr>
          <w:bCs/>
          <w:sz w:val="24"/>
          <w:szCs w:val="24"/>
        </w:rPr>
      </w:pPr>
    </w:p>
    <w:p w:rsidR="00ED4C99" w:rsidRPr="001D3FF6" w:rsidRDefault="00ED4C99" w:rsidP="00ED4C99">
      <w:pPr>
        <w:jc w:val="both"/>
        <w:rPr>
          <w:rFonts w:eastAsia="Calibri"/>
          <w:sz w:val="24"/>
          <w:szCs w:val="24"/>
          <w:lang w:val="en-US"/>
        </w:rPr>
      </w:pPr>
      <w:r w:rsidRPr="001D3FF6">
        <w:rPr>
          <w:rFonts w:eastAsia="Calibri"/>
          <w:sz w:val="24"/>
          <w:szCs w:val="24"/>
          <w:lang w:val="en-US"/>
        </w:rPr>
        <w:t>Table 5: Mean, STDEV, T-Values, P-Values</w:t>
      </w:r>
    </w:p>
    <w:tbl>
      <w:tblPr>
        <w:tblW w:w="5000" w:type="pct"/>
        <w:tblBorders>
          <w:top w:val="single" w:sz="4" w:space="0" w:color="auto"/>
          <w:bottom w:val="single" w:sz="4" w:space="0" w:color="auto"/>
        </w:tblBorders>
        <w:tblLook w:val="04A0" w:firstRow="1" w:lastRow="0" w:firstColumn="1" w:lastColumn="0" w:noHBand="0" w:noVBand="1"/>
      </w:tblPr>
      <w:tblGrid>
        <w:gridCol w:w="2292"/>
        <w:gridCol w:w="766"/>
        <w:gridCol w:w="726"/>
        <w:gridCol w:w="880"/>
        <w:gridCol w:w="1033"/>
        <w:gridCol w:w="796"/>
        <w:gridCol w:w="822"/>
      </w:tblGrid>
      <w:tr w:rsidR="00ED4C99" w:rsidRPr="00CC2B47" w:rsidTr="00ED4C99">
        <w:trPr>
          <w:trHeight w:val="610"/>
        </w:trPr>
        <w:tc>
          <w:tcPr>
            <w:tcW w:w="1424" w:type="pct"/>
            <w:tcBorders>
              <w:top w:val="single" w:sz="4" w:space="0" w:color="auto"/>
              <w:bottom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562" w:type="pct"/>
            <w:tcBorders>
              <w:top w:val="single" w:sz="4"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Original Sample (O)</w:t>
            </w:r>
          </w:p>
        </w:tc>
        <w:tc>
          <w:tcPr>
            <w:tcW w:w="481" w:type="pct"/>
            <w:tcBorders>
              <w:top w:val="single" w:sz="4"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Sample Mean (M)</w:t>
            </w:r>
          </w:p>
        </w:tc>
        <w:tc>
          <w:tcPr>
            <w:tcW w:w="893" w:type="pct"/>
            <w:tcBorders>
              <w:top w:val="single" w:sz="4"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Standard Deviation (STDEV)</w:t>
            </w:r>
          </w:p>
        </w:tc>
        <w:tc>
          <w:tcPr>
            <w:tcW w:w="671" w:type="pct"/>
            <w:tcBorders>
              <w:top w:val="single" w:sz="4"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T Statistic 9IO/STDEV)</w:t>
            </w:r>
          </w:p>
        </w:tc>
        <w:tc>
          <w:tcPr>
            <w:tcW w:w="481" w:type="pct"/>
            <w:tcBorders>
              <w:top w:val="single" w:sz="4"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P Values</w:t>
            </w:r>
          </w:p>
        </w:tc>
        <w:tc>
          <w:tcPr>
            <w:tcW w:w="487" w:type="pct"/>
            <w:tcBorders>
              <w:top w:val="single" w:sz="4"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Result</w:t>
            </w:r>
          </w:p>
        </w:tc>
      </w:tr>
      <w:tr w:rsidR="00ED4C99" w:rsidRPr="00CC2B47" w:rsidTr="00ED4C99">
        <w:trPr>
          <w:trHeight w:val="290"/>
        </w:trPr>
        <w:tc>
          <w:tcPr>
            <w:tcW w:w="1424" w:type="pct"/>
            <w:tcBorders>
              <w:top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Art Collection &gt; Revisit Intention</w:t>
            </w:r>
          </w:p>
        </w:tc>
        <w:tc>
          <w:tcPr>
            <w:tcW w:w="562" w:type="pc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0,189</w:t>
            </w:r>
          </w:p>
        </w:tc>
        <w:tc>
          <w:tcPr>
            <w:tcW w:w="481" w:type="pc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0,201</w:t>
            </w:r>
          </w:p>
        </w:tc>
        <w:tc>
          <w:tcPr>
            <w:tcW w:w="893" w:type="pc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0,093</w:t>
            </w:r>
          </w:p>
        </w:tc>
        <w:tc>
          <w:tcPr>
            <w:tcW w:w="671" w:type="pc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2,026</w:t>
            </w:r>
          </w:p>
        </w:tc>
        <w:tc>
          <w:tcPr>
            <w:tcW w:w="481" w:type="pc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0,043</w:t>
            </w:r>
          </w:p>
        </w:tc>
        <w:tc>
          <w:tcPr>
            <w:tcW w:w="487" w:type="pct"/>
            <w:tcBorders>
              <w:top w:val="single" w:sz="4" w:space="0" w:color="auto"/>
            </w:tcBorders>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Art Collection &gt; Visit Decision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0,043</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0,093</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0,138</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0,313</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0,754</w:t>
            </w:r>
          </w:p>
        </w:tc>
        <w:tc>
          <w:tcPr>
            <w:tcW w:w="487" w:type="pct"/>
            <w:shd w:val="clear" w:color="auto" w:fill="auto"/>
            <w:noWrap/>
            <w:vAlign w:val="bottom"/>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Rejected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lastRenderedPageBreak/>
              <w:t>Art Collection &gt; Visit Intention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0,336</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0,366</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0,108</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3,110</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0,002</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Hedonic &gt; Revisit Intention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0,341</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0,317</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0,097</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3.517</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0,000</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Hedonic &gt; Visit Decision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0,403</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0,378</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0,112</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3.597</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0,000</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Hedonic &gt; Visit Intention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0,427</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0,386</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0,130</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3.283</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0,001</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Lifestyle &gt; Visit Decision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-0,127</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-0,11</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0,085</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1,497</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0,135</w:t>
            </w:r>
          </w:p>
        </w:tc>
        <w:tc>
          <w:tcPr>
            <w:tcW w:w="487" w:type="pct"/>
            <w:shd w:val="clear" w:color="auto" w:fill="auto"/>
            <w:noWrap/>
            <w:vAlign w:val="bottom"/>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Rejected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Lifestlye&gt; revisit intention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0,132</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0,142</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0.100</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1,320</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0,187</w:t>
            </w:r>
          </w:p>
        </w:tc>
        <w:tc>
          <w:tcPr>
            <w:tcW w:w="487" w:type="pct"/>
            <w:shd w:val="clear" w:color="auto" w:fill="auto"/>
            <w:noWrap/>
            <w:vAlign w:val="bottom"/>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Rejected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 xml:space="preserve">Lifestyle &gt; Visit intention </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0,031</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0,047</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0,078</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0,403</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0,687</w:t>
            </w:r>
          </w:p>
        </w:tc>
        <w:tc>
          <w:tcPr>
            <w:tcW w:w="487" w:type="pct"/>
            <w:shd w:val="clear" w:color="auto" w:fill="auto"/>
            <w:noWrap/>
            <w:vAlign w:val="bottom"/>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Rejected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Visit decision &gt; revisit intention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0,462</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0,456</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0,108</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4,288</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0,000</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 xml:space="preserve">visit intention &gt; visit decision </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0,262</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0,232</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0,111</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2,356</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0,019</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bl>
    <w:p w:rsidR="00ED4C99" w:rsidRDefault="00ED4C99" w:rsidP="00ED4C99">
      <w:pPr>
        <w:jc w:val="both"/>
        <w:rPr>
          <w:bCs/>
          <w:szCs w:val="20"/>
        </w:rPr>
      </w:pPr>
      <w:r w:rsidRPr="00702C17">
        <w:rPr>
          <w:bCs/>
          <w:szCs w:val="20"/>
          <w:lang w:val="en-US"/>
        </w:rPr>
        <w:t>Source: Authors, 2022</w:t>
      </w:r>
    </w:p>
    <w:p w:rsidR="00ED4C99" w:rsidRPr="00833547" w:rsidRDefault="00ED4C99" w:rsidP="00585D0B">
      <w:pPr>
        <w:ind w:firstLine="720"/>
        <w:jc w:val="both"/>
        <w:rPr>
          <w:rFonts w:ascii="Segoe UI" w:hAnsi="Segoe UI" w:cs="Segoe UI"/>
          <w:sz w:val="24"/>
          <w:szCs w:val="24"/>
        </w:rPr>
      </w:pPr>
      <w:r w:rsidRPr="00833547">
        <w:rPr>
          <w:rFonts w:ascii="Segoe UI" w:hAnsi="Segoe UI" w:cs="Segoe UI"/>
          <w:sz w:val="24"/>
          <w:szCs w:val="24"/>
        </w:rPr>
        <w:t xml:space="preserve">If the path coefficient t-statistic is more than 1.96 and the p-value is less than 0.05, the results of the hypothesis can be accepted. The findings indicate that the path coefficient t-statistic indicates a significant association between art collection and revisit intention, with a value of 2.026 (&gt; 1.96) and a p-value of 0.043 0.05, supporting the first hypothesis. With a p-value of 0.754 &gt; 0.05 and a t-statistic value of 0.313 (1.96) for the association between the art collection and visit </w:t>
      </w:r>
      <w:r w:rsidRPr="00833547">
        <w:rPr>
          <w:rFonts w:ascii="Segoe UI" w:hAnsi="Segoe UI" w:cs="Segoe UI"/>
          <w:sz w:val="24"/>
          <w:szCs w:val="24"/>
        </w:rPr>
        <w:lastRenderedPageBreak/>
        <w:t>choice, it can be concluded that there is no evidence to support this hypothesis. With a t-statistic of 3.11 &gt; (1.96) and a p-value of 0.002 0.05, the hypothesis that there is a significant association between art collection and visit intention is supported.</w:t>
      </w:r>
      <w:r w:rsidRPr="00833547">
        <w:rPr>
          <w:rFonts w:ascii="Segoe UI" w:hAnsi="Segoe UI" w:cs="Segoe UI"/>
        </w:rPr>
        <w:t xml:space="preserve"> </w:t>
      </w:r>
      <w:r w:rsidRPr="00833547">
        <w:rPr>
          <w:rFonts w:ascii="Segoe UI" w:hAnsi="Segoe UI" w:cs="Segoe UI"/>
          <w:sz w:val="24"/>
          <w:szCs w:val="24"/>
        </w:rPr>
        <w:t>The hypothesis may be accepted since it has a substantial impact and has a t-statistic value of 3.517 &gt; (1.96) and a p-value of 0.000 0.05 for the hedonic association between revisit intention. The hypothesis may be accepted since the hedonic association with the visit decision has a substantial impact and has a t-statistic value of 3.597 &gt; (1.96) and a p-value of 0.000 0.05.</w:t>
      </w:r>
    </w:p>
    <w:p w:rsidR="00ED4C99" w:rsidRPr="00833547" w:rsidRDefault="00ED4C99" w:rsidP="00ED4C99">
      <w:pPr>
        <w:ind w:firstLine="720"/>
        <w:jc w:val="both"/>
        <w:rPr>
          <w:rFonts w:ascii="Segoe UI" w:hAnsi="Segoe UI" w:cs="Segoe UI"/>
          <w:sz w:val="24"/>
          <w:szCs w:val="24"/>
        </w:rPr>
      </w:pPr>
      <w:r w:rsidRPr="00833547">
        <w:rPr>
          <w:rFonts w:ascii="Segoe UI" w:hAnsi="Segoe UI" w:cs="Segoe UI"/>
          <w:sz w:val="24"/>
          <w:szCs w:val="24"/>
        </w:rPr>
        <w:t>With a t-statistic of 3.283 &gt; (1.96) and a p-value of 0.001 0.05, the hedonic link to visit intention is significant and the hypothesis may be accepted. The t-statistic for the link between lifestyle and visit decision is 1.497 (1.96), the p-value is 0.135 &gt; 0.05, and the hypothesis is rejected since it has no discernible impact. The t-statistic value for the association between lifestyle and visit decision is 1.497 (1.96) and the p-value is 0.135 &gt; 0.005, indicating that the hypothesis has no significant impact and is rejected.</w:t>
      </w:r>
      <w:r w:rsidRPr="00833547">
        <w:rPr>
          <w:rFonts w:ascii="Segoe UI" w:hAnsi="Segoe UI" w:cs="Segoe UI"/>
        </w:rPr>
        <w:t xml:space="preserve"> </w:t>
      </w:r>
      <w:r w:rsidRPr="00833547">
        <w:rPr>
          <w:rFonts w:ascii="Segoe UI" w:hAnsi="Segoe UI" w:cs="Segoe UI"/>
          <w:sz w:val="24"/>
          <w:szCs w:val="24"/>
        </w:rPr>
        <w:t>With a t-statistic of 1.320 (1.96), a p-value of 0.187 &gt; 0.05, and a link between lifestyle and revisit intention, the hypothesis is disproved and is thus rejected. The hypothesis is rejected since the lifestyle link with visit intention has a t-statistical value of 0.403 (1.96) and a p-value of 0.687 &gt; 0.05, indicating that it has no significant influence. The hypothesis is supported since the association between visit choice and revisit intention has a t-statistic value of 4.288 &gt; (1.96) and a p-value of 0.000 0.05. The hypothesis is supported by the link between visit intention and visit decision, which has a t-statistic value of 2.356 &gt; (1.96) and a p-value of 0.019 0.05.</w:t>
      </w:r>
    </w:p>
    <w:p w:rsidR="00ED4C99" w:rsidRDefault="00ED4C99" w:rsidP="00C46FD2">
      <w:pPr>
        <w:pStyle w:val="I-POINT"/>
      </w:pPr>
    </w:p>
    <w:p w:rsidR="00C63058" w:rsidRPr="00173D33" w:rsidRDefault="00C63058" w:rsidP="00C46FD2">
      <w:pPr>
        <w:pStyle w:val="I-POINT"/>
      </w:pPr>
      <w:r w:rsidRPr="00173D33">
        <w:lastRenderedPageBreak/>
        <w:t>CONCLUSION</w:t>
      </w:r>
      <w:r w:rsidR="00C46FD2">
        <w:t xml:space="preserve"> </w:t>
      </w:r>
    </w:p>
    <w:p w:rsidR="00585D0B" w:rsidRPr="00833547" w:rsidRDefault="00585D0B" w:rsidP="00585D0B">
      <w:pPr>
        <w:ind w:firstLine="709"/>
        <w:jc w:val="both"/>
        <w:rPr>
          <w:rFonts w:ascii="Segoe UI" w:hAnsi="Segoe UI" w:cs="Segoe UI"/>
          <w:sz w:val="24"/>
          <w:szCs w:val="24"/>
        </w:rPr>
      </w:pPr>
      <w:r w:rsidRPr="00833547">
        <w:rPr>
          <w:rFonts w:ascii="Segoe UI" w:hAnsi="Segoe UI" w:cs="Segoe UI"/>
          <w:sz w:val="24"/>
          <w:szCs w:val="24"/>
        </w:rPr>
        <w:t>The results demonstrate that visitors' intents, decisions, or willingness to return are unaffected by visitors' way of life. Although the existence of art collections has a significant influence on visitors' intentions to come and return, they often choose to do so, implying that other variables influence tourists' decisions to visit the national gallery. In contrast to lifestyle, hedonic is a variable that influences all dependent variables, including interest in visiting, visiting preference, and desire to return. This demonstrates that people go to the National Gallery to experience the beauty of works of art. The national gallery, which is a gallery near the national monument, was the sole gallery where this investigation was done. For more study, it is advised to examine the effects of hedonic factors, lifestyle choices, and art collections on visitors' intentions, choices, and likelihood to return to different art galleries in Jakarta and other locations. the purpose of this is to provide insight into the motivators for individuals to attend art galleries. Research may also be conducted by including more factors, which will make the findings more complete</w:t>
      </w:r>
    </w:p>
    <w:p w:rsidR="00585D0B" w:rsidRDefault="00585D0B" w:rsidP="00C46FD2">
      <w:pPr>
        <w:pStyle w:val="I-POINT"/>
      </w:pPr>
    </w:p>
    <w:p w:rsidR="00C63058" w:rsidRDefault="00C63058" w:rsidP="00C46FD2">
      <w:pPr>
        <w:pStyle w:val="I-POINT"/>
      </w:pPr>
      <w:r w:rsidRPr="00173D33">
        <w:t>REFERENCES</w:t>
      </w:r>
      <w:r w:rsidR="00DD5D0A">
        <w:t xml:space="preserve"> </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Pr>
          <w:color w:val="333333"/>
        </w:rPr>
        <w:fldChar w:fldCharType="begin" w:fldLock="1"/>
      </w:r>
      <w:r>
        <w:rPr>
          <w:color w:val="333333"/>
        </w:rPr>
        <w:instrText xml:space="preserve">ADDIN Mendeley Bibliography CSL_BIBLIOGRAPHY </w:instrText>
      </w:r>
      <w:r>
        <w:rPr>
          <w:color w:val="333333"/>
        </w:rPr>
        <w:fldChar w:fldCharType="separate"/>
      </w:r>
      <w:r w:rsidRPr="00CC2B47">
        <w:rPr>
          <w:rFonts w:ascii="Segoe UI" w:hAnsi="Segoe UI" w:cs="Segoe UI"/>
          <w:noProof/>
          <w:szCs w:val="24"/>
        </w:rPr>
        <w:t xml:space="preserve">Abidin, Z., Handayani, W., Zaky, E. A., &amp; Faturrahman, A. D. (2022). Perceived risk and attitude’s mediating role between tourism knowledge and visit intention during the COVID-19 pandemic: implementation for coastal-ecotourism management. </w:t>
      </w:r>
      <w:r w:rsidRPr="00CC2B47">
        <w:rPr>
          <w:rFonts w:ascii="Segoe UI" w:hAnsi="Segoe UI" w:cs="Segoe UI"/>
          <w:i/>
          <w:iCs/>
          <w:noProof/>
          <w:szCs w:val="24"/>
        </w:rPr>
        <w:t>Heliyon</w:t>
      </w:r>
      <w:r w:rsidRPr="00CC2B47">
        <w:rPr>
          <w:rFonts w:ascii="Segoe UI" w:hAnsi="Segoe UI" w:cs="Segoe UI"/>
          <w:noProof/>
          <w:szCs w:val="24"/>
        </w:rPr>
        <w:t xml:space="preserve">, </w:t>
      </w:r>
      <w:r w:rsidRPr="00CC2B47">
        <w:rPr>
          <w:rFonts w:ascii="Segoe UI" w:hAnsi="Segoe UI" w:cs="Segoe UI"/>
          <w:i/>
          <w:iCs/>
          <w:noProof/>
          <w:szCs w:val="24"/>
        </w:rPr>
        <w:t>8</w:t>
      </w:r>
      <w:r w:rsidRPr="00CC2B47">
        <w:rPr>
          <w:rFonts w:ascii="Segoe UI" w:hAnsi="Segoe UI" w:cs="Segoe UI"/>
          <w:noProof/>
          <w:szCs w:val="24"/>
        </w:rPr>
        <w:t>(September), e10724. https://doi.org/10.1016/j.heliyon.2022.e10724</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Abubakar, A. M., Ilkan, M., Meshall Al-Tal, R., &amp; Eluwole, K. K. (2017). eWOM, revisit intention, destination trust and gender. </w:t>
      </w:r>
      <w:r w:rsidRPr="00CC2B47">
        <w:rPr>
          <w:rFonts w:ascii="Segoe UI" w:hAnsi="Segoe UI" w:cs="Segoe UI"/>
          <w:i/>
          <w:iCs/>
          <w:noProof/>
          <w:szCs w:val="24"/>
        </w:rPr>
        <w:t>Journal of Hospitality and Tourism Management</w:t>
      </w:r>
      <w:r w:rsidRPr="00CC2B47">
        <w:rPr>
          <w:rFonts w:ascii="Segoe UI" w:hAnsi="Segoe UI" w:cs="Segoe UI"/>
          <w:noProof/>
          <w:szCs w:val="24"/>
        </w:rPr>
        <w:t xml:space="preserve">, </w:t>
      </w:r>
      <w:r w:rsidRPr="00CC2B47">
        <w:rPr>
          <w:rFonts w:ascii="Segoe UI" w:hAnsi="Segoe UI" w:cs="Segoe UI"/>
          <w:i/>
          <w:iCs/>
          <w:noProof/>
          <w:szCs w:val="24"/>
        </w:rPr>
        <w:t>31</w:t>
      </w:r>
      <w:r w:rsidRPr="00CC2B47">
        <w:rPr>
          <w:rFonts w:ascii="Segoe UI" w:hAnsi="Segoe UI" w:cs="Segoe UI"/>
          <w:noProof/>
          <w:szCs w:val="24"/>
        </w:rPr>
        <w:t>, 220–227. https://doi.org/10.1016/j.jhtm.2016.12.005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Akkaya, M. (2021). Understanding the impacts of lifestyle segmentation &amp; perceived value on brand purchase intention: An empirical study in different product categories. </w:t>
      </w:r>
      <w:r w:rsidRPr="00CC2B47">
        <w:rPr>
          <w:rFonts w:ascii="Segoe UI" w:hAnsi="Segoe UI" w:cs="Segoe UI"/>
          <w:i/>
          <w:iCs/>
          <w:noProof/>
          <w:szCs w:val="24"/>
        </w:rPr>
        <w:t>European Research on Management and Business Economics</w:t>
      </w:r>
      <w:r w:rsidRPr="00CC2B47">
        <w:rPr>
          <w:rFonts w:ascii="Segoe UI" w:hAnsi="Segoe UI" w:cs="Segoe UI"/>
          <w:noProof/>
          <w:szCs w:val="24"/>
        </w:rPr>
        <w:t xml:space="preserve">, </w:t>
      </w:r>
      <w:r w:rsidRPr="00CC2B47">
        <w:rPr>
          <w:rFonts w:ascii="Segoe UI" w:hAnsi="Segoe UI" w:cs="Segoe UI"/>
          <w:i/>
          <w:iCs/>
          <w:noProof/>
          <w:szCs w:val="24"/>
        </w:rPr>
        <w:t>27</w:t>
      </w:r>
      <w:r w:rsidRPr="00CC2B47">
        <w:rPr>
          <w:rFonts w:ascii="Segoe UI" w:hAnsi="Segoe UI" w:cs="Segoe UI"/>
          <w:noProof/>
          <w:szCs w:val="24"/>
        </w:rPr>
        <w:t xml:space="preserve">(3), </w:t>
      </w:r>
      <w:r w:rsidRPr="00CC2B47">
        <w:rPr>
          <w:rFonts w:ascii="Segoe UI" w:hAnsi="Segoe UI" w:cs="Segoe UI"/>
          <w:noProof/>
          <w:szCs w:val="24"/>
        </w:rPr>
        <w:lastRenderedPageBreak/>
        <w:t>100155. https://doi.org/10.1016/j.iedeen.2021.100155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Al-Dmour, R., Hammdan, F., Al-Dmour, H., Alrowwad, A., &amp; Khwaldeh, S. M. (2017). The Effect of Lifestyle on Online Purchasing Decision for Electronic Services: The Jordanian Flying E-Tickets Case. </w:t>
      </w:r>
      <w:r w:rsidRPr="00CC2B47">
        <w:rPr>
          <w:rFonts w:ascii="Segoe UI" w:hAnsi="Segoe UI" w:cs="Segoe UI"/>
          <w:i/>
          <w:iCs/>
          <w:noProof/>
          <w:szCs w:val="24"/>
        </w:rPr>
        <w:t>Asian Social Science</w:t>
      </w:r>
      <w:r w:rsidRPr="00CC2B47">
        <w:rPr>
          <w:rFonts w:ascii="Segoe UI" w:hAnsi="Segoe UI" w:cs="Segoe UI"/>
          <w:noProof/>
          <w:szCs w:val="24"/>
        </w:rPr>
        <w:t xml:space="preserve">, </w:t>
      </w:r>
      <w:r w:rsidRPr="00CC2B47">
        <w:rPr>
          <w:rFonts w:ascii="Segoe UI" w:hAnsi="Segoe UI" w:cs="Segoe UI"/>
          <w:i/>
          <w:iCs/>
          <w:noProof/>
          <w:szCs w:val="24"/>
        </w:rPr>
        <w:t>13</w:t>
      </w:r>
      <w:r w:rsidRPr="00CC2B47">
        <w:rPr>
          <w:rFonts w:ascii="Segoe UI" w:hAnsi="Segoe UI" w:cs="Segoe UI"/>
          <w:noProof/>
          <w:szCs w:val="24"/>
        </w:rPr>
        <w:t>(11), 157. https://doi.org/10.5539/ass.v13n11p157</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Araújo Vila, N., Fraiz Brea, J. A., &amp; de Carlos, P. (2021). Film tourism in Spain: Destination awareness and visit motivation as determinants to visit places seen in TV series. </w:t>
      </w:r>
      <w:r w:rsidRPr="00CC2B47">
        <w:rPr>
          <w:rFonts w:ascii="Segoe UI" w:hAnsi="Segoe UI" w:cs="Segoe UI"/>
          <w:i/>
          <w:iCs/>
          <w:noProof/>
          <w:szCs w:val="24"/>
        </w:rPr>
        <w:t>European Research on Management and Business Economics</w:t>
      </w:r>
      <w:r w:rsidRPr="00CC2B47">
        <w:rPr>
          <w:rFonts w:ascii="Segoe UI" w:hAnsi="Segoe UI" w:cs="Segoe UI"/>
          <w:noProof/>
          <w:szCs w:val="24"/>
        </w:rPr>
        <w:t xml:space="preserve">, </w:t>
      </w:r>
      <w:r w:rsidRPr="00CC2B47">
        <w:rPr>
          <w:rFonts w:ascii="Segoe UI" w:hAnsi="Segoe UI" w:cs="Segoe UI"/>
          <w:i/>
          <w:iCs/>
          <w:noProof/>
          <w:szCs w:val="24"/>
        </w:rPr>
        <w:t>27</w:t>
      </w:r>
      <w:r w:rsidRPr="00CC2B47">
        <w:rPr>
          <w:rFonts w:ascii="Segoe UI" w:hAnsi="Segoe UI" w:cs="Segoe UI"/>
          <w:noProof/>
          <w:szCs w:val="24"/>
        </w:rPr>
        <w:t>(1), 100135. https://doi.org/10.1016/j.iedeen.2020.100135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Bakar, N. A., Khan, N. R. M., Zahirudin, Z., Yusof, J. M., Mohamed, R. N., &amp; Jamaludin, N. F. (2018). E-Commerce : Customer Purchase Intention and its Service Performance ( SERVPERF ) on Online Businesses in Malaysia. </w:t>
      </w:r>
      <w:r w:rsidRPr="00CC2B47">
        <w:rPr>
          <w:rFonts w:ascii="Segoe UI" w:hAnsi="Segoe UI" w:cs="Segoe UI"/>
          <w:i/>
          <w:iCs/>
          <w:noProof/>
          <w:szCs w:val="24"/>
        </w:rPr>
        <w:t>Journal of International Business and Management</w:t>
      </w:r>
      <w:r w:rsidRPr="00CC2B47">
        <w:rPr>
          <w:rFonts w:ascii="Segoe UI" w:hAnsi="Segoe UI" w:cs="Segoe UI"/>
          <w:noProof/>
          <w:szCs w:val="24"/>
        </w:rPr>
        <w:t xml:space="preserve">, </w:t>
      </w:r>
      <w:r w:rsidRPr="00CC2B47">
        <w:rPr>
          <w:rFonts w:ascii="Segoe UI" w:hAnsi="Segoe UI" w:cs="Segoe UI"/>
          <w:i/>
          <w:iCs/>
          <w:noProof/>
          <w:szCs w:val="24"/>
        </w:rPr>
        <w:t>1</w:t>
      </w:r>
      <w:r w:rsidRPr="00CC2B47">
        <w:rPr>
          <w:rFonts w:ascii="Segoe UI" w:hAnsi="Segoe UI" w:cs="Segoe UI"/>
          <w:noProof/>
          <w:szCs w:val="24"/>
        </w:rPr>
        <w:t>(3), 1–14. https://rpajournals.com/wp-content/uploads/2019/01/JIBM-2018-03-67.pdf</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Barok, D., Noordegraaf, J., &amp; de Vries, A. P. (2019). From Collection Management to Content Management in Art Documentation: The Conservator as an Editor. </w:t>
      </w:r>
      <w:r w:rsidRPr="00CC2B47">
        <w:rPr>
          <w:rFonts w:ascii="Segoe UI" w:hAnsi="Segoe UI" w:cs="Segoe UI"/>
          <w:i/>
          <w:iCs/>
          <w:noProof/>
          <w:szCs w:val="24"/>
        </w:rPr>
        <w:t>Studies in Conservation</w:t>
      </w:r>
      <w:r w:rsidRPr="00CC2B47">
        <w:rPr>
          <w:rFonts w:ascii="Segoe UI" w:hAnsi="Segoe UI" w:cs="Segoe UI"/>
          <w:noProof/>
          <w:szCs w:val="24"/>
        </w:rPr>
        <w:t xml:space="preserve">, </w:t>
      </w:r>
      <w:r w:rsidRPr="00CC2B47">
        <w:rPr>
          <w:rFonts w:ascii="Segoe UI" w:hAnsi="Segoe UI" w:cs="Segoe UI"/>
          <w:i/>
          <w:iCs/>
          <w:noProof/>
          <w:szCs w:val="24"/>
        </w:rPr>
        <w:t>64</w:t>
      </w:r>
      <w:r w:rsidRPr="00CC2B47">
        <w:rPr>
          <w:rFonts w:ascii="Segoe UI" w:hAnsi="Segoe UI" w:cs="Segoe UI"/>
          <w:noProof/>
          <w:szCs w:val="24"/>
        </w:rPr>
        <w:t>(8), 472–489. https://doi.org/10.1080/00393630.2019.1603921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Beerli, A., &amp; Martín, J. D. (2004). Factors influencing destination image. </w:t>
      </w:r>
      <w:r w:rsidRPr="00CC2B47">
        <w:rPr>
          <w:rFonts w:ascii="Segoe UI" w:hAnsi="Segoe UI" w:cs="Segoe UI"/>
          <w:i/>
          <w:iCs/>
          <w:noProof/>
          <w:szCs w:val="24"/>
        </w:rPr>
        <w:t>Annals of Tourism Research</w:t>
      </w:r>
      <w:r w:rsidRPr="00CC2B47">
        <w:rPr>
          <w:rFonts w:ascii="Segoe UI" w:hAnsi="Segoe UI" w:cs="Segoe UI"/>
          <w:noProof/>
          <w:szCs w:val="24"/>
        </w:rPr>
        <w:t xml:space="preserve">, </w:t>
      </w:r>
      <w:r w:rsidRPr="00CC2B47">
        <w:rPr>
          <w:rFonts w:ascii="Segoe UI" w:hAnsi="Segoe UI" w:cs="Segoe UI"/>
          <w:i/>
          <w:iCs/>
          <w:noProof/>
          <w:szCs w:val="24"/>
        </w:rPr>
        <w:t>31</w:t>
      </w:r>
      <w:r w:rsidRPr="00CC2B47">
        <w:rPr>
          <w:rFonts w:ascii="Segoe UI" w:hAnsi="Segoe UI" w:cs="Segoe UI"/>
          <w:noProof/>
          <w:szCs w:val="24"/>
        </w:rPr>
        <w:t>(3), 657–681. https://doi.org/10.1016/j.annals.2004.01.010</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Bilei, D., &amp; Kim, C. (2009). </w:t>
      </w:r>
      <w:r w:rsidRPr="00CC2B47">
        <w:rPr>
          <w:rFonts w:ascii="Segoe UI" w:hAnsi="Segoe UI" w:cs="Segoe UI"/>
          <w:i/>
          <w:iCs/>
          <w:noProof/>
          <w:szCs w:val="24"/>
        </w:rPr>
        <w:t>Identifying Impact of Olympic Host City’s Image on Intention to Visit</w:t>
      </w:r>
      <w:r w:rsidRPr="00CC2B47">
        <w:rPr>
          <w:rFonts w:ascii="Segoe UI" w:hAnsi="Segoe UI" w:cs="Segoe UI"/>
          <w:noProof/>
          <w:szCs w:val="24"/>
        </w:rPr>
        <w:t xml:space="preserve">. </w:t>
      </w:r>
      <w:r w:rsidRPr="00CC2B47">
        <w:rPr>
          <w:rFonts w:ascii="Segoe UI" w:hAnsi="Segoe UI" w:cs="Segoe UI"/>
          <w:i/>
          <w:iCs/>
          <w:noProof/>
          <w:szCs w:val="24"/>
        </w:rPr>
        <w:t>9</w:t>
      </w:r>
      <w:r w:rsidRPr="00CC2B47">
        <w:rPr>
          <w:rFonts w:ascii="Segoe UI" w:hAnsi="Segoe UI" w:cs="Segoe UI"/>
          <w:noProof/>
          <w:szCs w:val="24"/>
        </w:rPr>
        <w:t>(3), 1–24. https://doi.org/10.1080/15980634.2009.11434615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Brida, J. G., Meleddu, M., &amp; Pulina, M. (2012). Factors influencing the intention to revisit a cultural attraction: The case study of the Museum of Modern and Contemporary Art in Rovereto. </w:t>
      </w:r>
      <w:r w:rsidRPr="00CC2B47">
        <w:rPr>
          <w:rFonts w:ascii="Segoe UI" w:hAnsi="Segoe UI" w:cs="Segoe UI"/>
          <w:i/>
          <w:iCs/>
          <w:noProof/>
          <w:szCs w:val="24"/>
        </w:rPr>
        <w:t>Journal of Cultural Heritage</w:t>
      </w:r>
      <w:r w:rsidRPr="00CC2B47">
        <w:rPr>
          <w:rFonts w:ascii="Segoe UI" w:hAnsi="Segoe UI" w:cs="Segoe UI"/>
          <w:noProof/>
          <w:szCs w:val="24"/>
        </w:rPr>
        <w:t xml:space="preserve">, </w:t>
      </w:r>
      <w:r w:rsidRPr="00CC2B47">
        <w:rPr>
          <w:rFonts w:ascii="Segoe UI" w:hAnsi="Segoe UI" w:cs="Segoe UI"/>
          <w:i/>
          <w:iCs/>
          <w:noProof/>
          <w:szCs w:val="24"/>
        </w:rPr>
        <w:t>13</w:t>
      </w:r>
      <w:r w:rsidRPr="00CC2B47">
        <w:rPr>
          <w:rFonts w:ascii="Segoe UI" w:hAnsi="Segoe UI" w:cs="Segoe UI"/>
          <w:noProof/>
          <w:szCs w:val="24"/>
        </w:rPr>
        <w:t>(2), 167–174. https://doi.org/10.1016/j.culher.2011.08.003</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Budiman, A., Sultan, H. M. A., &amp; Yuliawati, A. K. (2016). </w:t>
      </w:r>
      <w:r w:rsidRPr="00CC2B47">
        <w:rPr>
          <w:rFonts w:ascii="Segoe UI" w:hAnsi="Segoe UI" w:cs="Segoe UI"/>
          <w:i/>
          <w:iCs/>
          <w:noProof/>
          <w:szCs w:val="24"/>
        </w:rPr>
        <w:t>Social Media Marketing : Visitors Decision to Green Destination</w:t>
      </w:r>
      <w:r w:rsidRPr="00CC2B47">
        <w:rPr>
          <w:rFonts w:ascii="Segoe UI" w:hAnsi="Segoe UI" w:cs="Segoe UI"/>
          <w:noProof/>
          <w:szCs w:val="24"/>
        </w:rPr>
        <w:t xml:space="preserve">. </w:t>
      </w:r>
      <w:r w:rsidRPr="00CC2B47">
        <w:rPr>
          <w:rFonts w:ascii="Segoe UI" w:hAnsi="Segoe UI" w:cs="Segoe UI"/>
          <w:i/>
          <w:iCs/>
          <w:noProof/>
          <w:szCs w:val="24"/>
        </w:rPr>
        <w:t>15</w:t>
      </w:r>
      <w:r w:rsidRPr="00CC2B47">
        <w:rPr>
          <w:rFonts w:ascii="Segoe UI" w:hAnsi="Segoe UI" w:cs="Segoe UI"/>
          <w:noProof/>
          <w:szCs w:val="24"/>
        </w:rPr>
        <w:t>, 493–497.</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Camarero, C., Garrido, M. J., &amp; Vicente, E. (2010). Components of art exhibition brand equity for internal and external visitors. </w:t>
      </w:r>
      <w:r w:rsidRPr="00CC2B47">
        <w:rPr>
          <w:rFonts w:ascii="Segoe UI" w:hAnsi="Segoe UI" w:cs="Segoe UI"/>
          <w:i/>
          <w:iCs/>
          <w:noProof/>
          <w:szCs w:val="24"/>
        </w:rPr>
        <w:t>Tourism Management</w:t>
      </w:r>
      <w:r w:rsidRPr="00CC2B47">
        <w:rPr>
          <w:rFonts w:ascii="Segoe UI" w:hAnsi="Segoe UI" w:cs="Segoe UI"/>
          <w:noProof/>
          <w:szCs w:val="24"/>
        </w:rPr>
        <w:t xml:space="preserve">, </w:t>
      </w:r>
      <w:r w:rsidRPr="00CC2B47">
        <w:rPr>
          <w:rFonts w:ascii="Segoe UI" w:hAnsi="Segoe UI" w:cs="Segoe UI"/>
          <w:i/>
          <w:iCs/>
          <w:noProof/>
          <w:szCs w:val="24"/>
        </w:rPr>
        <w:t>31</w:t>
      </w:r>
      <w:r w:rsidRPr="00CC2B47">
        <w:rPr>
          <w:rFonts w:ascii="Segoe UI" w:hAnsi="Segoe UI" w:cs="Segoe UI"/>
          <w:noProof/>
          <w:szCs w:val="24"/>
        </w:rPr>
        <w:t>(4), 495–504. https://doi.org/10.1016/j.tourman.2009.05.011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Chang, S. C., Chou, P. Y., &amp; Wen-Chien, L. (2014). Evaluation of satisfaction and repurchase intention in online food group-buying, using Taiwan as an example. </w:t>
      </w:r>
      <w:r w:rsidRPr="00CC2B47">
        <w:rPr>
          <w:rFonts w:ascii="Segoe UI" w:hAnsi="Segoe UI" w:cs="Segoe UI"/>
          <w:i/>
          <w:iCs/>
          <w:noProof/>
          <w:szCs w:val="24"/>
        </w:rPr>
        <w:t>British Food Journal</w:t>
      </w:r>
      <w:r w:rsidRPr="00CC2B47">
        <w:rPr>
          <w:rFonts w:ascii="Segoe UI" w:hAnsi="Segoe UI" w:cs="Segoe UI"/>
          <w:noProof/>
          <w:szCs w:val="24"/>
        </w:rPr>
        <w:t xml:space="preserve">, </w:t>
      </w:r>
      <w:r w:rsidRPr="00CC2B47">
        <w:rPr>
          <w:rFonts w:ascii="Segoe UI" w:hAnsi="Segoe UI" w:cs="Segoe UI"/>
          <w:i/>
          <w:iCs/>
          <w:noProof/>
          <w:szCs w:val="24"/>
        </w:rPr>
        <w:t>116</w:t>
      </w:r>
      <w:r w:rsidRPr="00CC2B47">
        <w:rPr>
          <w:rFonts w:ascii="Segoe UI" w:hAnsi="Segoe UI" w:cs="Segoe UI"/>
          <w:noProof/>
          <w:szCs w:val="24"/>
        </w:rPr>
        <w:t>(1), 44–61. https://doi.org/10.1108/BFJ-03-2012-0058</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Dussel, E. (2019). Fortalecimiento Del Estado Desde El Horizonte Del Postulado De La Disolución Del Estado. </w:t>
      </w:r>
      <w:r w:rsidRPr="00CC2B47">
        <w:rPr>
          <w:rFonts w:ascii="Segoe UI" w:hAnsi="Segoe UI" w:cs="Segoe UI"/>
          <w:i/>
          <w:iCs/>
          <w:noProof/>
          <w:szCs w:val="24"/>
        </w:rPr>
        <w:t>El Vuelo Del Fénix</w:t>
      </w:r>
      <w:r w:rsidRPr="00CC2B47">
        <w:rPr>
          <w:rFonts w:ascii="Segoe UI" w:hAnsi="Segoe UI" w:cs="Segoe UI"/>
          <w:noProof/>
          <w:szCs w:val="24"/>
        </w:rPr>
        <w:t>, 211–226. https://doi.org/10.2307/j.ctvn5tzff.11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Enrique Bigné, J., Sánchez, I., &amp; Andreu, L. (2009). The role of variety seeking in short and long run revisit intentions in holiday destinations. </w:t>
      </w:r>
      <w:r w:rsidRPr="00CC2B47">
        <w:rPr>
          <w:rFonts w:ascii="Segoe UI" w:hAnsi="Segoe UI" w:cs="Segoe UI"/>
          <w:i/>
          <w:iCs/>
          <w:noProof/>
          <w:szCs w:val="24"/>
        </w:rPr>
        <w:t xml:space="preserve">International Journal of </w:t>
      </w:r>
      <w:r w:rsidRPr="00CC2B47">
        <w:rPr>
          <w:rFonts w:ascii="Segoe UI" w:hAnsi="Segoe UI" w:cs="Segoe UI"/>
          <w:i/>
          <w:iCs/>
          <w:noProof/>
          <w:szCs w:val="24"/>
        </w:rPr>
        <w:lastRenderedPageBreak/>
        <w:t>Culture, Tourism and Hospitality Research</w:t>
      </w:r>
      <w:r w:rsidRPr="00CC2B47">
        <w:rPr>
          <w:rFonts w:ascii="Segoe UI" w:hAnsi="Segoe UI" w:cs="Segoe UI"/>
          <w:noProof/>
          <w:szCs w:val="24"/>
        </w:rPr>
        <w:t xml:space="preserve">, </w:t>
      </w:r>
      <w:r w:rsidRPr="00CC2B47">
        <w:rPr>
          <w:rFonts w:ascii="Segoe UI" w:hAnsi="Segoe UI" w:cs="Segoe UI"/>
          <w:i/>
          <w:iCs/>
          <w:noProof/>
          <w:szCs w:val="24"/>
        </w:rPr>
        <w:t>3</w:t>
      </w:r>
      <w:r w:rsidRPr="00CC2B47">
        <w:rPr>
          <w:rFonts w:ascii="Segoe UI" w:hAnsi="Segoe UI" w:cs="Segoe UI"/>
          <w:noProof/>
          <w:szCs w:val="24"/>
        </w:rPr>
        <w:t>(2), 103–115. https://doi.org/10.1108/17506180910962113</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Fornell, C., &amp; Larcker, D. F. (1981). </w:t>
      </w:r>
      <w:r w:rsidRPr="00CC2B47">
        <w:rPr>
          <w:rFonts w:ascii="Segoe UI" w:hAnsi="Segoe UI" w:cs="Segoe UI"/>
          <w:i/>
          <w:iCs/>
          <w:noProof/>
          <w:szCs w:val="24"/>
        </w:rPr>
        <w:t>Evaluating Structural Equation Models with Unobservable Variables and Measurement Error</w:t>
      </w:r>
      <w:r w:rsidRPr="00CC2B47">
        <w:rPr>
          <w:rFonts w:ascii="Segoe UI" w:hAnsi="Segoe UI" w:cs="Segoe UI"/>
          <w:noProof/>
          <w:szCs w:val="24"/>
        </w:rPr>
        <w:t xml:space="preserve">. </w:t>
      </w:r>
      <w:r w:rsidRPr="00CC2B47">
        <w:rPr>
          <w:rFonts w:ascii="Segoe UI" w:hAnsi="Segoe UI" w:cs="Segoe UI"/>
          <w:i/>
          <w:iCs/>
          <w:noProof/>
          <w:szCs w:val="24"/>
        </w:rPr>
        <w:t>66</w:t>
      </w:r>
      <w:r w:rsidRPr="00CC2B47">
        <w:rPr>
          <w:rFonts w:ascii="Segoe UI" w:hAnsi="Segoe UI" w:cs="Segoe UI"/>
          <w:noProof/>
          <w:szCs w:val="24"/>
        </w:rPr>
        <w:t>(December), 37–39.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Füller, J., &amp; Matzler, K. (2008). Customer delight and market segmentation: An application of the three-factor theory of customer satisfaction on life style groups. </w:t>
      </w:r>
      <w:r w:rsidRPr="00CC2B47">
        <w:rPr>
          <w:rFonts w:ascii="Segoe UI" w:hAnsi="Segoe UI" w:cs="Segoe UI"/>
          <w:i/>
          <w:iCs/>
          <w:noProof/>
          <w:szCs w:val="24"/>
        </w:rPr>
        <w:t>Tourism Management</w:t>
      </w:r>
      <w:r w:rsidRPr="00CC2B47">
        <w:rPr>
          <w:rFonts w:ascii="Segoe UI" w:hAnsi="Segoe UI" w:cs="Segoe UI"/>
          <w:noProof/>
          <w:szCs w:val="24"/>
        </w:rPr>
        <w:t xml:space="preserve">, </w:t>
      </w:r>
      <w:r w:rsidRPr="00CC2B47">
        <w:rPr>
          <w:rFonts w:ascii="Segoe UI" w:hAnsi="Segoe UI" w:cs="Segoe UI"/>
          <w:i/>
          <w:iCs/>
          <w:noProof/>
          <w:szCs w:val="24"/>
        </w:rPr>
        <w:t>29</w:t>
      </w:r>
      <w:r w:rsidRPr="00CC2B47">
        <w:rPr>
          <w:rFonts w:ascii="Segoe UI" w:hAnsi="Segoe UI" w:cs="Segoe UI"/>
          <w:noProof/>
          <w:szCs w:val="24"/>
        </w:rPr>
        <w:t>(1), 116–126. https://doi.org/10.1016/j.tourman.2007.03.021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Gosal, J., Andajani, E., &amp; Rahayu, S. (2020). </w:t>
      </w:r>
      <w:r w:rsidRPr="00CC2B47">
        <w:rPr>
          <w:rFonts w:ascii="Segoe UI" w:hAnsi="Segoe UI" w:cs="Segoe UI"/>
          <w:i/>
          <w:iCs/>
          <w:noProof/>
          <w:szCs w:val="24"/>
        </w:rPr>
        <w:t>The Effect of e-WOM on Travel Intention, Travel Decision, City Image, and Attitude to Visit a Tourism City</w:t>
      </w:r>
      <w:r w:rsidRPr="00CC2B47">
        <w:rPr>
          <w:rFonts w:ascii="Segoe UI" w:hAnsi="Segoe UI" w:cs="Segoe UI"/>
          <w:noProof/>
          <w:szCs w:val="24"/>
        </w:rPr>
        <w:t xml:space="preserve">. </w:t>
      </w:r>
      <w:r w:rsidRPr="00CC2B47">
        <w:rPr>
          <w:rFonts w:ascii="Segoe UI" w:hAnsi="Segoe UI" w:cs="Segoe UI"/>
          <w:i/>
          <w:iCs/>
          <w:noProof/>
          <w:szCs w:val="24"/>
        </w:rPr>
        <w:t>115</w:t>
      </w:r>
      <w:r w:rsidRPr="00CC2B47">
        <w:rPr>
          <w:rFonts w:ascii="Segoe UI" w:hAnsi="Segoe UI" w:cs="Segoe UI"/>
          <w:noProof/>
          <w:szCs w:val="24"/>
        </w:rPr>
        <w:t>(Insyma), 261–265. https://doi.org/10.2991/aebmr.k.200127.053</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Heathwood, C. (2006). Desire satisfactionism and hedonism. </w:t>
      </w:r>
      <w:r w:rsidRPr="00CC2B47">
        <w:rPr>
          <w:rFonts w:ascii="Segoe UI" w:hAnsi="Segoe UI" w:cs="Segoe UI"/>
          <w:i/>
          <w:iCs/>
          <w:noProof/>
          <w:szCs w:val="24"/>
        </w:rPr>
        <w:t>Philosophical Studies</w:t>
      </w:r>
      <w:r w:rsidRPr="00CC2B47">
        <w:rPr>
          <w:rFonts w:ascii="Segoe UI" w:hAnsi="Segoe UI" w:cs="Segoe UI"/>
          <w:noProof/>
          <w:szCs w:val="24"/>
        </w:rPr>
        <w:t xml:space="preserve">, </w:t>
      </w:r>
      <w:r w:rsidRPr="00CC2B47">
        <w:rPr>
          <w:rFonts w:ascii="Segoe UI" w:hAnsi="Segoe UI" w:cs="Segoe UI"/>
          <w:i/>
          <w:iCs/>
          <w:noProof/>
          <w:szCs w:val="24"/>
        </w:rPr>
        <w:t>128</w:t>
      </w:r>
      <w:r w:rsidRPr="00CC2B47">
        <w:rPr>
          <w:rFonts w:ascii="Segoe UI" w:hAnsi="Segoe UI" w:cs="Segoe UI"/>
          <w:noProof/>
          <w:szCs w:val="24"/>
        </w:rPr>
        <w:t>(3), 539–563. https://doi.org/10.1007/s11098-004-7817-y</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Hellier, P. K., Geursen, G. M., Carr, R. A., &amp; Rickard, J. A. (2003). Customer repurchase intention. In </w:t>
      </w:r>
      <w:r w:rsidRPr="00CC2B47">
        <w:rPr>
          <w:rFonts w:ascii="Segoe UI" w:hAnsi="Segoe UI" w:cs="Segoe UI"/>
          <w:i/>
          <w:iCs/>
          <w:noProof/>
          <w:szCs w:val="24"/>
        </w:rPr>
        <w:t>European Journal of Marketing</w:t>
      </w:r>
      <w:r w:rsidRPr="00CC2B47">
        <w:rPr>
          <w:rFonts w:ascii="Segoe UI" w:hAnsi="Segoe UI" w:cs="Segoe UI"/>
          <w:noProof/>
          <w:szCs w:val="24"/>
        </w:rPr>
        <w:t xml:space="preserve"> (Vol. 37, Issue 11/12). https://doi.org/10.1108/03090560310495456</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Henseler, J., Dijkstra, T. K., Sarstedt, M., Ringle, C. M., Diamantopoulos, A., Straub, D. W., Ketchen, D. J., Hair, J. F., Hult, G. T. M., &amp; Calantone, R. J. (2014). Common Beliefs and Reality About PLS: Comments on Rönkkö and Evermann (2013). </w:t>
      </w:r>
      <w:r w:rsidRPr="00CC2B47">
        <w:rPr>
          <w:rFonts w:ascii="Segoe UI" w:hAnsi="Segoe UI" w:cs="Segoe UI"/>
          <w:i/>
          <w:iCs/>
          <w:noProof/>
          <w:szCs w:val="24"/>
        </w:rPr>
        <w:t>Organizational Research Methods</w:t>
      </w:r>
      <w:r w:rsidRPr="00CC2B47">
        <w:rPr>
          <w:rFonts w:ascii="Segoe UI" w:hAnsi="Segoe UI" w:cs="Segoe UI"/>
          <w:noProof/>
          <w:szCs w:val="24"/>
        </w:rPr>
        <w:t xml:space="preserve">, </w:t>
      </w:r>
      <w:r w:rsidRPr="00CC2B47">
        <w:rPr>
          <w:rFonts w:ascii="Segoe UI" w:hAnsi="Segoe UI" w:cs="Segoe UI"/>
          <w:i/>
          <w:iCs/>
          <w:noProof/>
          <w:szCs w:val="24"/>
        </w:rPr>
        <w:t>17</w:t>
      </w:r>
      <w:r w:rsidRPr="00CC2B47">
        <w:rPr>
          <w:rFonts w:ascii="Segoe UI" w:hAnsi="Segoe UI" w:cs="Segoe UI"/>
          <w:noProof/>
          <w:szCs w:val="24"/>
        </w:rPr>
        <w:t>(2), 182–209. https://doi.org/10.1177/1094428114526928</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Hu, L., Bentler, P. M., &amp; Hu, L. (2009). </w:t>
      </w:r>
      <w:r w:rsidRPr="00CC2B47">
        <w:rPr>
          <w:rFonts w:ascii="Segoe UI" w:hAnsi="Segoe UI" w:cs="Segoe UI"/>
          <w:i/>
          <w:iCs/>
          <w:noProof/>
          <w:szCs w:val="24"/>
        </w:rPr>
        <w:t>Cutoff criteria for fit indexes in covariance structure analysis : Conventional criteria versus new alternatives Cutoff Criteria for Fit Indexes in Covariance Structure Analysis : Conventional Criteria Versus New Alternatives</w:t>
      </w:r>
      <w:r w:rsidRPr="00CC2B47">
        <w:rPr>
          <w:rFonts w:ascii="Segoe UI" w:hAnsi="Segoe UI" w:cs="Segoe UI"/>
          <w:noProof/>
          <w:szCs w:val="24"/>
        </w:rPr>
        <w:t xml:space="preserve">. </w:t>
      </w:r>
      <w:r w:rsidRPr="00CC2B47">
        <w:rPr>
          <w:rFonts w:ascii="Segoe UI" w:hAnsi="Segoe UI" w:cs="Segoe UI"/>
          <w:i/>
          <w:iCs/>
          <w:noProof/>
          <w:szCs w:val="24"/>
        </w:rPr>
        <w:t>5511</w:t>
      </w:r>
      <w:r w:rsidRPr="00CC2B47">
        <w:rPr>
          <w:rFonts w:ascii="Segoe UI" w:hAnsi="Segoe UI" w:cs="Segoe UI"/>
          <w:noProof/>
          <w:szCs w:val="24"/>
        </w:rPr>
        <w:t>.</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Kaharu, D., &amp; Budiarti, A. (2016). Pengaruh Gaya Hidup, Promosi, dan Kualitas Produk terhadap Keputusan Pembelian pada Cosmic. </w:t>
      </w:r>
      <w:r w:rsidRPr="00CC2B47">
        <w:rPr>
          <w:rFonts w:ascii="Segoe UI" w:hAnsi="Segoe UI" w:cs="Segoe UI"/>
          <w:i/>
          <w:iCs/>
          <w:noProof/>
          <w:szCs w:val="24"/>
        </w:rPr>
        <w:t>Jurnal Ilmu Dan Riset Manajemen, ISSN : 2461-0593</w:t>
      </w:r>
      <w:r w:rsidRPr="00CC2B47">
        <w:rPr>
          <w:rFonts w:ascii="Segoe UI" w:hAnsi="Segoe UI" w:cs="Segoe UI"/>
          <w:noProof/>
          <w:szCs w:val="24"/>
        </w:rPr>
        <w:t xml:space="preserve">, </w:t>
      </w:r>
      <w:r w:rsidRPr="00CC2B47">
        <w:rPr>
          <w:rFonts w:ascii="Segoe UI" w:hAnsi="Segoe UI" w:cs="Segoe UI"/>
          <w:i/>
          <w:iCs/>
          <w:noProof/>
          <w:szCs w:val="24"/>
        </w:rPr>
        <w:t>5</w:t>
      </w:r>
      <w:r w:rsidRPr="00CC2B47">
        <w:rPr>
          <w:rFonts w:ascii="Segoe UI" w:hAnsi="Segoe UI" w:cs="Segoe UI"/>
          <w:noProof/>
          <w:szCs w:val="24"/>
        </w:rPr>
        <w:t>(3), 1–24.</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Karimi, S., Papamichail, K. N., &amp; Holland, C. P. (2015). The effect of prior knowledge and decision-making style on the online purchase decision-making process: A typology of consumer shopping behaviour. </w:t>
      </w:r>
      <w:r w:rsidRPr="00CC2B47">
        <w:rPr>
          <w:rFonts w:ascii="Segoe UI" w:hAnsi="Segoe UI" w:cs="Segoe UI"/>
          <w:i/>
          <w:iCs/>
          <w:noProof/>
          <w:szCs w:val="24"/>
        </w:rPr>
        <w:t>Decision Support Systems</w:t>
      </w:r>
      <w:r w:rsidRPr="00CC2B47">
        <w:rPr>
          <w:rFonts w:ascii="Segoe UI" w:hAnsi="Segoe UI" w:cs="Segoe UI"/>
          <w:noProof/>
          <w:szCs w:val="24"/>
        </w:rPr>
        <w:t xml:space="preserve">, </w:t>
      </w:r>
      <w:r w:rsidRPr="00CC2B47">
        <w:rPr>
          <w:rFonts w:ascii="Segoe UI" w:hAnsi="Segoe UI" w:cs="Segoe UI"/>
          <w:i/>
          <w:iCs/>
          <w:noProof/>
          <w:szCs w:val="24"/>
        </w:rPr>
        <w:t>77</w:t>
      </w:r>
      <w:r w:rsidRPr="00CC2B47">
        <w:rPr>
          <w:rFonts w:ascii="Segoe UI" w:hAnsi="Segoe UI" w:cs="Segoe UI"/>
          <w:noProof/>
          <w:szCs w:val="24"/>
        </w:rPr>
        <w:t>, 137–147. https://doi.org/10.1016/j.dss.2015.06.004</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Kim, J. J., &amp; Hwang, J. (2020). Merging the norm activation model and the theory of planned behavior in the context of drone food delivery services: Does the level of product knowledge really matter? </w:t>
      </w:r>
      <w:r w:rsidRPr="00CC2B47">
        <w:rPr>
          <w:rFonts w:ascii="Segoe UI" w:hAnsi="Segoe UI" w:cs="Segoe UI"/>
          <w:i/>
          <w:iCs/>
          <w:noProof/>
          <w:szCs w:val="24"/>
        </w:rPr>
        <w:t>Journal of Hospitality and Tourism Management</w:t>
      </w:r>
      <w:r w:rsidRPr="00CC2B47">
        <w:rPr>
          <w:rFonts w:ascii="Segoe UI" w:hAnsi="Segoe UI" w:cs="Segoe UI"/>
          <w:noProof/>
          <w:szCs w:val="24"/>
        </w:rPr>
        <w:t xml:space="preserve">, </w:t>
      </w:r>
      <w:r w:rsidRPr="00CC2B47">
        <w:rPr>
          <w:rFonts w:ascii="Segoe UI" w:hAnsi="Segoe UI" w:cs="Segoe UI"/>
          <w:i/>
          <w:iCs/>
          <w:noProof/>
          <w:szCs w:val="24"/>
        </w:rPr>
        <w:t>42</w:t>
      </w:r>
      <w:r w:rsidRPr="00CC2B47">
        <w:rPr>
          <w:rFonts w:ascii="Segoe UI" w:hAnsi="Segoe UI" w:cs="Segoe UI"/>
          <w:noProof/>
          <w:szCs w:val="24"/>
        </w:rPr>
        <w:t>(November 2019), 1–11. https://doi.org/10.1016/j.jhtm.2019.11.002</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Lee, T. H., Chang, P. S., &amp; Luo, Y. W. (2016). Elucidating the relationships among destination images, recreation experience, and authenticity of the Shengxing </w:t>
      </w:r>
      <w:r w:rsidRPr="00CC2B47">
        <w:rPr>
          <w:rFonts w:ascii="Segoe UI" w:hAnsi="Segoe UI" w:cs="Segoe UI"/>
          <w:noProof/>
          <w:szCs w:val="24"/>
        </w:rPr>
        <w:lastRenderedPageBreak/>
        <w:t xml:space="preserve">Heritage Recreation Area in Taiwan. </w:t>
      </w:r>
      <w:r w:rsidRPr="00CC2B47">
        <w:rPr>
          <w:rFonts w:ascii="Segoe UI" w:hAnsi="Segoe UI" w:cs="Segoe UI"/>
          <w:i/>
          <w:iCs/>
          <w:noProof/>
          <w:szCs w:val="24"/>
        </w:rPr>
        <w:t>Journal of Heritage Tourism</w:t>
      </w:r>
      <w:r w:rsidRPr="00CC2B47">
        <w:rPr>
          <w:rFonts w:ascii="Segoe UI" w:hAnsi="Segoe UI" w:cs="Segoe UI"/>
          <w:noProof/>
          <w:szCs w:val="24"/>
        </w:rPr>
        <w:t xml:space="preserve">, </w:t>
      </w:r>
      <w:r w:rsidRPr="00CC2B47">
        <w:rPr>
          <w:rFonts w:ascii="Segoe UI" w:hAnsi="Segoe UI" w:cs="Segoe UI"/>
          <w:i/>
          <w:iCs/>
          <w:noProof/>
          <w:szCs w:val="24"/>
        </w:rPr>
        <w:t>11</w:t>
      </w:r>
      <w:r w:rsidRPr="00CC2B47">
        <w:rPr>
          <w:rFonts w:ascii="Segoe UI" w:hAnsi="Segoe UI" w:cs="Segoe UI"/>
          <w:noProof/>
          <w:szCs w:val="24"/>
        </w:rPr>
        <w:t>(4), 349–363. https://doi.org/10.1080/1743873X.2015.1102272</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Lindenberg, M., &amp; Oosterlinck, K. (2011). Art collections as a strategy tool: A typology based on the Belgian financial sector. </w:t>
      </w:r>
      <w:r w:rsidRPr="00CC2B47">
        <w:rPr>
          <w:rFonts w:ascii="Segoe UI" w:hAnsi="Segoe UI" w:cs="Segoe UI"/>
          <w:i/>
          <w:iCs/>
          <w:noProof/>
          <w:szCs w:val="24"/>
        </w:rPr>
        <w:t>International Journal of Arts Management</w:t>
      </w:r>
      <w:r w:rsidRPr="00CC2B47">
        <w:rPr>
          <w:rFonts w:ascii="Segoe UI" w:hAnsi="Segoe UI" w:cs="Segoe UI"/>
          <w:noProof/>
          <w:szCs w:val="24"/>
        </w:rPr>
        <w:t xml:space="preserve">, </w:t>
      </w:r>
      <w:r w:rsidRPr="00CC2B47">
        <w:rPr>
          <w:rFonts w:ascii="Segoe UI" w:hAnsi="Segoe UI" w:cs="Segoe UI"/>
          <w:i/>
          <w:iCs/>
          <w:noProof/>
          <w:szCs w:val="24"/>
        </w:rPr>
        <w:t>13</w:t>
      </w:r>
      <w:r w:rsidRPr="00CC2B47">
        <w:rPr>
          <w:rFonts w:ascii="Segoe UI" w:hAnsi="Segoe UI" w:cs="Segoe UI"/>
          <w:noProof/>
          <w:szCs w:val="24"/>
        </w:rPr>
        <w:t>(3), 4–19.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M.Pearce, S. (2003). </w:t>
      </w:r>
      <w:r w:rsidRPr="00CC2B47">
        <w:rPr>
          <w:rFonts w:ascii="Segoe UI" w:hAnsi="Segoe UI" w:cs="Segoe UI"/>
          <w:i/>
          <w:iCs/>
          <w:noProof/>
          <w:szCs w:val="24"/>
        </w:rPr>
        <w:t>Interpreting Objects and Collections</w:t>
      </w:r>
      <w:r w:rsidRPr="00CC2B47">
        <w:rPr>
          <w:rFonts w:ascii="Segoe UI" w:hAnsi="Segoe UI" w:cs="Segoe UI"/>
          <w:noProof/>
          <w:szCs w:val="24"/>
        </w:rPr>
        <w:t>.</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Macdonald, S. (2007). Collecting Practices. </w:t>
      </w:r>
      <w:r w:rsidRPr="00CC2B47">
        <w:rPr>
          <w:rFonts w:ascii="Segoe UI" w:hAnsi="Segoe UI" w:cs="Segoe UI"/>
          <w:i/>
          <w:iCs/>
          <w:noProof/>
          <w:szCs w:val="24"/>
        </w:rPr>
        <w:t>A Companion to Museum Studies</w:t>
      </w:r>
      <w:r w:rsidRPr="00CC2B47">
        <w:rPr>
          <w:rFonts w:ascii="Segoe UI" w:hAnsi="Segoe UI" w:cs="Segoe UI"/>
          <w:noProof/>
          <w:szCs w:val="24"/>
        </w:rPr>
        <w:t>, 81–97. https://doi.org/10.1002/9780470996836.ch6</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Macleod, D. S. (2011). Art collecting as play: Lady Charlotte Schreiber (1812-1895). </w:t>
      </w:r>
      <w:r w:rsidRPr="00CC2B47">
        <w:rPr>
          <w:rFonts w:ascii="Segoe UI" w:hAnsi="Segoe UI" w:cs="Segoe UI"/>
          <w:i/>
          <w:iCs/>
          <w:noProof/>
          <w:szCs w:val="24"/>
        </w:rPr>
        <w:t>Visual Resources</w:t>
      </w:r>
      <w:r w:rsidRPr="00CC2B47">
        <w:rPr>
          <w:rFonts w:ascii="Segoe UI" w:hAnsi="Segoe UI" w:cs="Segoe UI"/>
          <w:noProof/>
          <w:szCs w:val="24"/>
        </w:rPr>
        <w:t xml:space="preserve">, </w:t>
      </w:r>
      <w:r w:rsidRPr="00CC2B47">
        <w:rPr>
          <w:rFonts w:ascii="Segoe UI" w:hAnsi="Segoe UI" w:cs="Segoe UI"/>
          <w:i/>
          <w:iCs/>
          <w:noProof/>
          <w:szCs w:val="24"/>
        </w:rPr>
        <w:t>27</w:t>
      </w:r>
      <w:r w:rsidRPr="00CC2B47">
        <w:rPr>
          <w:rFonts w:ascii="Segoe UI" w:hAnsi="Segoe UI" w:cs="Segoe UI"/>
          <w:noProof/>
          <w:szCs w:val="24"/>
        </w:rPr>
        <w:t>(1), 18–31. https://doi.org/10.1080/01973762.2011.542350</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Mouakket, S., &amp; Al-Hawari, M. A. (2012). Examining the antecedents of e-loyalty intention in an online reservation environment. </w:t>
      </w:r>
      <w:r w:rsidRPr="00CC2B47">
        <w:rPr>
          <w:rFonts w:ascii="Segoe UI" w:hAnsi="Segoe UI" w:cs="Segoe UI"/>
          <w:i/>
          <w:iCs/>
          <w:noProof/>
          <w:szCs w:val="24"/>
        </w:rPr>
        <w:t>Journal of High Technology Management Research</w:t>
      </w:r>
      <w:r w:rsidRPr="00CC2B47">
        <w:rPr>
          <w:rFonts w:ascii="Segoe UI" w:hAnsi="Segoe UI" w:cs="Segoe UI"/>
          <w:noProof/>
          <w:szCs w:val="24"/>
        </w:rPr>
        <w:t xml:space="preserve">, </w:t>
      </w:r>
      <w:r w:rsidRPr="00CC2B47">
        <w:rPr>
          <w:rFonts w:ascii="Segoe UI" w:hAnsi="Segoe UI" w:cs="Segoe UI"/>
          <w:i/>
          <w:iCs/>
          <w:noProof/>
          <w:szCs w:val="24"/>
        </w:rPr>
        <w:t>23</w:t>
      </w:r>
      <w:r w:rsidRPr="00CC2B47">
        <w:rPr>
          <w:rFonts w:ascii="Segoe UI" w:hAnsi="Segoe UI" w:cs="Segoe UI"/>
          <w:noProof/>
          <w:szCs w:val="24"/>
        </w:rPr>
        <w:t>(1), 46–57. https://doi.org/10.1016/j.hitech.2012.03.005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Muckenhuber, J. (2015). Life-style, History of the Concept. In </w:t>
      </w:r>
      <w:r w:rsidRPr="00CC2B47">
        <w:rPr>
          <w:rFonts w:ascii="Segoe UI" w:hAnsi="Segoe UI" w:cs="Segoe UI"/>
          <w:i/>
          <w:iCs/>
          <w:noProof/>
          <w:szCs w:val="24"/>
        </w:rPr>
        <w:t>International Encyclopedia of the Social &amp; Behavioral Sciences: Second Edition</w:t>
      </w:r>
      <w:r w:rsidRPr="00CC2B47">
        <w:rPr>
          <w:rFonts w:ascii="Segoe UI" w:hAnsi="Segoe UI" w:cs="Segoe UI"/>
          <w:noProof/>
          <w:szCs w:val="24"/>
        </w:rPr>
        <w:t xml:space="preserve"> (Second Edi, Vol. 14). Elsevier. https://doi.org/10.1016/B978-0-08-097086-8.03162-7</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Myllyntaus, O. (2012). Visual Arts Education Reasoning the Acquisition and Placement of Public Sculptures – Case of the Public Sculptures of the Jyväskylä City Art Collection in 1977-2007. </w:t>
      </w:r>
      <w:r w:rsidRPr="00CC2B47">
        <w:rPr>
          <w:rFonts w:ascii="Segoe UI" w:hAnsi="Segoe UI" w:cs="Segoe UI"/>
          <w:i/>
          <w:iCs/>
          <w:noProof/>
          <w:szCs w:val="24"/>
        </w:rPr>
        <w:t>Procedia - Social and Behavioral Sciences</w:t>
      </w:r>
      <w:r w:rsidRPr="00CC2B47">
        <w:rPr>
          <w:rFonts w:ascii="Segoe UI" w:hAnsi="Segoe UI" w:cs="Segoe UI"/>
          <w:noProof/>
          <w:szCs w:val="24"/>
        </w:rPr>
        <w:t xml:space="preserve">, </w:t>
      </w:r>
      <w:r w:rsidRPr="00CC2B47">
        <w:rPr>
          <w:rFonts w:ascii="Segoe UI" w:hAnsi="Segoe UI" w:cs="Segoe UI"/>
          <w:i/>
          <w:iCs/>
          <w:noProof/>
          <w:szCs w:val="24"/>
        </w:rPr>
        <w:t>45</w:t>
      </w:r>
      <w:r w:rsidRPr="00CC2B47">
        <w:rPr>
          <w:rFonts w:ascii="Segoe UI" w:hAnsi="Segoe UI" w:cs="Segoe UI"/>
          <w:noProof/>
          <w:szCs w:val="24"/>
        </w:rPr>
        <w:t>, 605–614. https://doi.org/10.1016/j.sbspro.2012.06.598</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Octaviany, V., &amp; Shiddiq, M. A. (2015). The Influence Of Brand Positioning Fun, Art And Education Bale Seni Barli-Kota Baru Parahyangan Toward Visit Decision In Bale Seni Barli-Kota Baru Parahyangan. </w:t>
      </w:r>
      <w:r w:rsidRPr="00CC2B47">
        <w:rPr>
          <w:rFonts w:ascii="Segoe UI" w:hAnsi="Segoe UI" w:cs="Segoe UI"/>
          <w:i/>
          <w:iCs/>
          <w:noProof/>
          <w:szCs w:val="24"/>
        </w:rPr>
        <w:t>Jurnal Ekonomi, Bisnis Dan Entrepreneurship</w:t>
      </w:r>
      <w:r w:rsidRPr="00CC2B47">
        <w:rPr>
          <w:rFonts w:ascii="Segoe UI" w:hAnsi="Segoe UI" w:cs="Segoe UI"/>
          <w:noProof/>
          <w:szCs w:val="24"/>
        </w:rPr>
        <w:t xml:space="preserve">, </w:t>
      </w:r>
      <w:r w:rsidRPr="00CC2B47">
        <w:rPr>
          <w:rFonts w:ascii="Segoe UI" w:hAnsi="Segoe UI" w:cs="Segoe UI"/>
          <w:i/>
          <w:iCs/>
          <w:noProof/>
          <w:szCs w:val="24"/>
        </w:rPr>
        <w:t>9</w:t>
      </w:r>
      <w:r w:rsidRPr="00CC2B47">
        <w:rPr>
          <w:rFonts w:ascii="Segoe UI" w:hAnsi="Segoe UI" w:cs="Segoe UI"/>
          <w:noProof/>
          <w:szCs w:val="24"/>
        </w:rPr>
        <w:t>(2), 68–79.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Roggeveen, A. L., Grewal, D., Townsend, C., &amp; Krishnan, R. (2015). The impact of dynamic presentation format on consumer preferences for hedonic products and services. </w:t>
      </w:r>
      <w:r w:rsidRPr="00CC2B47">
        <w:rPr>
          <w:rFonts w:ascii="Segoe UI" w:hAnsi="Segoe UI" w:cs="Segoe UI"/>
          <w:i/>
          <w:iCs/>
          <w:noProof/>
          <w:szCs w:val="24"/>
        </w:rPr>
        <w:t>Journal of Marketing</w:t>
      </w:r>
      <w:r w:rsidRPr="00CC2B47">
        <w:rPr>
          <w:rFonts w:ascii="Segoe UI" w:hAnsi="Segoe UI" w:cs="Segoe UI"/>
          <w:noProof/>
          <w:szCs w:val="24"/>
        </w:rPr>
        <w:t xml:space="preserve">, </w:t>
      </w:r>
      <w:r w:rsidRPr="00CC2B47">
        <w:rPr>
          <w:rFonts w:ascii="Segoe UI" w:hAnsi="Segoe UI" w:cs="Segoe UI"/>
          <w:i/>
          <w:iCs/>
          <w:noProof/>
          <w:szCs w:val="24"/>
        </w:rPr>
        <w:t>79</w:t>
      </w:r>
      <w:r w:rsidRPr="00CC2B47">
        <w:rPr>
          <w:rFonts w:ascii="Segoe UI" w:hAnsi="Segoe UI" w:cs="Segoe UI"/>
          <w:noProof/>
          <w:szCs w:val="24"/>
        </w:rPr>
        <w:t>(6), 34–49. https://doi.org/10.1509/jm.13.0521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Rosa, G. (2021). Purchasing decisions of travellers in Poland in the context of their age. </w:t>
      </w:r>
      <w:r w:rsidRPr="00CC2B47">
        <w:rPr>
          <w:rFonts w:ascii="Segoe UI" w:hAnsi="Segoe UI" w:cs="Segoe UI"/>
          <w:i/>
          <w:iCs/>
          <w:noProof/>
          <w:szCs w:val="24"/>
        </w:rPr>
        <w:t>Procedia Computer Science</w:t>
      </w:r>
      <w:r w:rsidRPr="00CC2B47">
        <w:rPr>
          <w:rFonts w:ascii="Segoe UI" w:hAnsi="Segoe UI" w:cs="Segoe UI"/>
          <w:noProof/>
          <w:szCs w:val="24"/>
        </w:rPr>
        <w:t xml:space="preserve">, </w:t>
      </w:r>
      <w:r w:rsidRPr="00CC2B47">
        <w:rPr>
          <w:rFonts w:ascii="Segoe UI" w:hAnsi="Segoe UI" w:cs="Segoe UI"/>
          <w:i/>
          <w:iCs/>
          <w:noProof/>
          <w:szCs w:val="24"/>
        </w:rPr>
        <w:t>192</w:t>
      </w:r>
      <w:r w:rsidRPr="00CC2B47">
        <w:rPr>
          <w:rFonts w:ascii="Segoe UI" w:hAnsi="Segoe UI" w:cs="Segoe UI"/>
          <w:noProof/>
          <w:szCs w:val="24"/>
        </w:rPr>
        <w:t>, 2406–2412. https://doi.org/10.1016/j.procs.2021.09.009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Samuel, S., &amp; Lily, T. (2022). </w:t>
      </w:r>
      <w:r w:rsidRPr="00CC2B47">
        <w:rPr>
          <w:rFonts w:ascii="Segoe UI" w:hAnsi="Segoe UI" w:cs="Segoe UI"/>
          <w:i/>
          <w:iCs/>
          <w:noProof/>
          <w:szCs w:val="24"/>
        </w:rPr>
        <w:t>International Journal of Data and Network Science The relationship between trends in technology use and repurchase intention</w:t>
      </w:r>
      <w:r w:rsidRPr="00CC2B47">
        <w:rPr>
          <w:rFonts w:ascii="Segoe UI" w:hAnsi="Segoe UI" w:cs="Segoe UI"/>
          <w:noProof/>
          <w:szCs w:val="24"/>
        </w:rPr>
        <w:t xml:space="preserve">. </w:t>
      </w:r>
      <w:r w:rsidRPr="00CC2B47">
        <w:rPr>
          <w:rFonts w:ascii="Segoe UI" w:hAnsi="Segoe UI" w:cs="Segoe UI"/>
          <w:i/>
          <w:iCs/>
          <w:noProof/>
          <w:szCs w:val="24"/>
        </w:rPr>
        <w:t>7</w:t>
      </w:r>
      <w:r w:rsidRPr="00CC2B47">
        <w:rPr>
          <w:rFonts w:ascii="Segoe UI" w:hAnsi="Segoe UI" w:cs="Segoe UI"/>
          <w:noProof/>
          <w:szCs w:val="24"/>
        </w:rPr>
        <w:t>, 449–456. https://doi.org/10.5267/j.ijdns.2022.9.001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Scheys, M. (2013). The Power of life style. </w:t>
      </w:r>
      <w:r w:rsidRPr="00CC2B47">
        <w:rPr>
          <w:rFonts w:ascii="Segoe UI" w:hAnsi="Segoe UI" w:cs="Segoe UI"/>
          <w:i/>
          <w:iCs/>
          <w:noProof/>
          <w:szCs w:val="24"/>
        </w:rPr>
        <w:t>Loisir et Societe</w:t>
      </w:r>
      <w:r w:rsidRPr="00CC2B47">
        <w:rPr>
          <w:rFonts w:ascii="Segoe UI" w:hAnsi="Segoe UI" w:cs="Segoe UI"/>
          <w:noProof/>
          <w:szCs w:val="24"/>
        </w:rPr>
        <w:t xml:space="preserve">, </w:t>
      </w:r>
      <w:r w:rsidRPr="00CC2B47">
        <w:rPr>
          <w:rFonts w:ascii="Segoe UI" w:hAnsi="Segoe UI" w:cs="Segoe UI"/>
          <w:i/>
          <w:iCs/>
          <w:noProof/>
          <w:szCs w:val="24"/>
        </w:rPr>
        <w:t>10</w:t>
      </w:r>
      <w:r w:rsidRPr="00CC2B47">
        <w:rPr>
          <w:rFonts w:ascii="Segoe UI" w:hAnsi="Segoe UI" w:cs="Segoe UI"/>
          <w:noProof/>
          <w:szCs w:val="24"/>
        </w:rPr>
        <w:t>(2), 249–266. https://doi.org/10.1080/07053436.1987.10715276</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Solichin, A., Resky Amalia, D. A., Katniaty, L., Wisudawati, T., Sulistyowati, E., &amp; Saputro, W. A. (2021). Pengaruh E-Wom Dan Risk Perception Terhadap Keputusan </w:t>
      </w:r>
      <w:r w:rsidRPr="00CC2B47">
        <w:rPr>
          <w:rFonts w:ascii="Segoe UI" w:hAnsi="Segoe UI" w:cs="Segoe UI"/>
          <w:noProof/>
          <w:szCs w:val="24"/>
        </w:rPr>
        <w:lastRenderedPageBreak/>
        <w:t xml:space="preserve">Berkunjung Wisatawan. </w:t>
      </w:r>
      <w:r w:rsidRPr="00CC2B47">
        <w:rPr>
          <w:rFonts w:ascii="Segoe UI" w:hAnsi="Segoe UI" w:cs="Segoe UI"/>
          <w:i/>
          <w:iCs/>
          <w:noProof/>
          <w:szCs w:val="24"/>
        </w:rPr>
        <w:t>Journal of Economic and Management (JECMA)</w:t>
      </w:r>
      <w:r w:rsidRPr="00CC2B47">
        <w:rPr>
          <w:rFonts w:ascii="Segoe UI" w:hAnsi="Segoe UI" w:cs="Segoe UI"/>
          <w:noProof/>
          <w:szCs w:val="24"/>
        </w:rPr>
        <w:t xml:space="preserve">, </w:t>
      </w:r>
      <w:r w:rsidRPr="00CC2B47">
        <w:rPr>
          <w:rFonts w:ascii="Segoe UI" w:hAnsi="Segoe UI" w:cs="Segoe UI"/>
          <w:i/>
          <w:iCs/>
          <w:noProof/>
          <w:szCs w:val="24"/>
        </w:rPr>
        <w:t>1</w:t>
      </w:r>
      <w:r w:rsidRPr="00CC2B47">
        <w:rPr>
          <w:rFonts w:ascii="Segoe UI" w:hAnsi="Segoe UI" w:cs="Segoe UI"/>
          <w:noProof/>
          <w:szCs w:val="24"/>
        </w:rPr>
        <w:t>(02), 2–9. https://doi.org/10.46772/jecma.v1i02.355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Solomon, M. (2009). Consumer Behavior: Buying, Having, and Being (8th ed.)20091Michael R. Solomon. Consumer Behavior: Buying, Having, and Being (8th ed.) . Upper Saddle River, NJ: Pearson Education 2009. , ISBN: ‐13: 978‐0‐13‐515336‐9 ‐10: 0‐13‐515336‐0. </w:t>
      </w:r>
      <w:r w:rsidRPr="00CC2B47">
        <w:rPr>
          <w:rFonts w:ascii="Segoe UI" w:hAnsi="Segoe UI" w:cs="Segoe UI"/>
          <w:i/>
          <w:iCs/>
          <w:noProof/>
          <w:szCs w:val="24"/>
        </w:rPr>
        <w:t>Management Decision</w:t>
      </w:r>
      <w:r w:rsidRPr="00CC2B47">
        <w:rPr>
          <w:rFonts w:ascii="Segoe UI" w:hAnsi="Segoe UI" w:cs="Segoe UI"/>
          <w:noProof/>
          <w:szCs w:val="24"/>
        </w:rPr>
        <w:t>. https://doi.org/10.1108/00251740910960169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Steg, L., Perlaviciute, G., van der Werff, E., &amp; Lurvink, J. (2014). The Significance of Hedonic Values for Environmentally Relevant Attitudes, Preferences, and Actions. </w:t>
      </w:r>
      <w:r w:rsidRPr="00CC2B47">
        <w:rPr>
          <w:rFonts w:ascii="Segoe UI" w:hAnsi="Segoe UI" w:cs="Segoe UI"/>
          <w:i/>
          <w:iCs/>
          <w:noProof/>
          <w:szCs w:val="24"/>
        </w:rPr>
        <w:t>Environment and Behavior</w:t>
      </w:r>
      <w:r w:rsidRPr="00CC2B47">
        <w:rPr>
          <w:rFonts w:ascii="Segoe UI" w:hAnsi="Segoe UI" w:cs="Segoe UI"/>
          <w:noProof/>
          <w:szCs w:val="24"/>
        </w:rPr>
        <w:t xml:space="preserve">, </w:t>
      </w:r>
      <w:r w:rsidRPr="00CC2B47">
        <w:rPr>
          <w:rFonts w:ascii="Segoe UI" w:hAnsi="Segoe UI" w:cs="Segoe UI"/>
          <w:i/>
          <w:iCs/>
          <w:noProof/>
          <w:szCs w:val="24"/>
        </w:rPr>
        <w:t>46</w:t>
      </w:r>
      <w:r w:rsidRPr="00CC2B47">
        <w:rPr>
          <w:rFonts w:ascii="Segoe UI" w:hAnsi="Segoe UI" w:cs="Segoe UI"/>
          <w:noProof/>
          <w:szCs w:val="24"/>
        </w:rPr>
        <w:t>(2), 163–192. https://doi.org/10.1177/0013916512454730</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Sudigdo, A., Khalifa, G. S. A., &amp; Abuelhassan, A. E. (2019). </w:t>
      </w:r>
      <w:r w:rsidRPr="00CC2B47">
        <w:rPr>
          <w:rFonts w:ascii="Segoe UI" w:hAnsi="Segoe UI" w:cs="Segoe UI"/>
          <w:i/>
          <w:iCs/>
          <w:noProof/>
          <w:szCs w:val="24"/>
        </w:rPr>
        <w:t>IJRTBT DRIVING ISLAMIC ATTRIBUTES , DESTINATION SECURITY GUARANTEE &amp; DESTINATION IMAGE TO PREDICT TOURISTS ’</w:t>
      </w:r>
      <w:r w:rsidRPr="00CC2B47">
        <w:rPr>
          <w:rFonts w:ascii="Segoe UI" w:hAnsi="Segoe UI" w:cs="Segoe UI"/>
          <w:noProof/>
          <w:szCs w:val="24"/>
        </w:rPr>
        <w:t xml:space="preserve">. </w:t>
      </w:r>
      <w:r w:rsidRPr="00CC2B47">
        <w:rPr>
          <w:rFonts w:ascii="Segoe UI" w:hAnsi="Segoe UI" w:cs="Segoe UI"/>
          <w:i/>
          <w:iCs/>
          <w:noProof/>
          <w:szCs w:val="24"/>
        </w:rPr>
        <w:t>3</w:t>
      </w:r>
      <w:r w:rsidRPr="00CC2B47">
        <w:rPr>
          <w:rFonts w:ascii="Segoe UI" w:hAnsi="Segoe UI" w:cs="Segoe UI"/>
          <w:noProof/>
          <w:szCs w:val="24"/>
        </w:rPr>
        <w:t>(January), 59–65.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Sugiyono. (2018). Metode Penelitian Manajaemen. In </w:t>
      </w:r>
      <w:r w:rsidRPr="00CC2B47">
        <w:rPr>
          <w:rFonts w:ascii="Segoe UI" w:hAnsi="Segoe UI" w:cs="Segoe UI"/>
          <w:i/>
          <w:iCs/>
          <w:noProof/>
          <w:szCs w:val="24"/>
        </w:rPr>
        <w:t>Cetakan ke-6</w:t>
      </w:r>
      <w:r w:rsidRPr="00CC2B47">
        <w:rPr>
          <w:rFonts w:ascii="Segoe UI" w:hAnsi="Segoe UI" w:cs="Segoe UI"/>
          <w:noProof/>
          <w:szCs w:val="24"/>
        </w:rPr>
        <w:t xml:space="preserve"> (p. 24). ALFABETA,cv.</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Sun, S., Law, R., &amp; Fong, D. K. C. (2018). What Affects the Revisit Intention of Chinese Tourists to Macao? </w:t>
      </w:r>
      <w:r w:rsidRPr="00CC2B47">
        <w:rPr>
          <w:rFonts w:ascii="Segoe UI" w:hAnsi="Segoe UI" w:cs="Segoe UI"/>
          <w:i/>
          <w:iCs/>
          <w:noProof/>
          <w:szCs w:val="24"/>
        </w:rPr>
        <w:t>Journal of China Tourism Research</w:t>
      </w:r>
      <w:r w:rsidRPr="00CC2B47">
        <w:rPr>
          <w:rFonts w:ascii="Segoe UI" w:hAnsi="Segoe UI" w:cs="Segoe UI"/>
          <w:noProof/>
          <w:szCs w:val="24"/>
        </w:rPr>
        <w:t xml:space="preserve">, </w:t>
      </w:r>
      <w:r w:rsidRPr="00CC2B47">
        <w:rPr>
          <w:rFonts w:ascii="Segoe UI" w:hAnsi="Segoe UI" w:cs="Segoe UI"/>
          <w:i/>
          <w:iCs/>
          <w:noProof/>
          <w:szCs w:val="24"/>
        </w:rPr>
        <w:t>14</w:t>
      </w:r>
      <w:r w:rsidRPr="00CC2B47">
        <w:rPr>
          <w:rFonts w:ascii="Segoe UI" w:hAnsi="Segoe UI" w:cs="Segoe UI"/>
          <w:noProof/>
          <w:szCs w:val="24"/>
        </w:rPr>
        <w:t>(3), 296–309. https://doi.org/10.1080/19388160.2018.1492482</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Tang, M., &amp; Zhu, J. (2019). Research of O2O website based consumer purchase decision-making model. </w:t>
      </w:r>
      <w:r w:rsidRPr="00CC2B47">
        <w:rPr>
          <w:rFonts w:ascii="Segoe UI" w:hAnsi="Segoe UI" w:cs="Segoe UI"/>
          <w:i/>
          <w:iCs/>
          <w:noProof/>
          <w:szCs w:val="24"/>
        </w:rPr>
        <w:t>Journal of Industrial and Production Engineering</w:t>
      </w:r>
      <w:r w:rsidRPr="00CC2B47">
        <w:rPr>
          <w:rFonts w:ascii="Segoe UI" w:hAnsi="Segoe UI" w:cs="Segoe UI"/>
          <w:noProof/>
          <w:szCs w:val="24"/>
        </w:rPr>
        <w:t xml:space="preserve">, </w:t>
      </w:r>
      <w:r w:rsidRPr="00CC2B47">
        <w:rPr>
          <w:rFonts w:ascii="Segoe UI" w:hAnsi="Segoe UI" w:cs="Segoe UI"/>
          <w:i/>
          <w:iCs/>
          <w:noProof/>
          <w:szCs w:val="24"/>
        </w:rPr>
        <w:t>36</w:t>
      </w:r>
      <w:r w:rsidRPr="00CC2B47">
        <w:rPr>
          <w:rFonts w:ascii="Segoe UI" w:hAnsi="Segoe UI" w:cs="Segoe UI"/>
          <w:noProof/>
          <w:szCs w:val="24"/>
        </w:rPr>
        <w:t>(6), 371–384. https://doi.org/10.1080/21681015.2019.1655490</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Therok, F. A., Saerang, D. P. E., Wangke, S. J. C., Therok, F. A., Saerang, D. P. E., &amp; Wangke, S. J. C. (2021). the Influence of Lifestyle, Servicescape, and Food Quality on Customer Revisit Intention At Decade Coffee Shop. </w:t>
      </w:r>
      <w:r w:rsidRPr="00CC2B47">
        <w:rPr>
          <w:rFonts w:ascii="Segoe UI" w:hAnsi="Segoe UI" w:cs="Segoe UI"/>
          <w:i/>
          <w:iCs/>
          <w:noProof/>
          <w:szCs w:val="24"/>
        </w:rPr>
        <w:t>Jurnal EMBA</w:t>
      </w:r>
      <w:r w:rsidRPr="00CC2B47">
        <w:rPr>
          <w:rFonts w:ascii="Segoe UI" w:hAnsi="Segoe UI" w:cs="Segoe UI"/>
          <w:noProof/>
          <w:szCs w:val="24"/>
        </w:rPr>
        <w:t xml:space="preserve">, </w:t>
      </w:r>
      <w:r w:rsidRPr="00CC2B47">
        <w:rPr>
          <w:rFonts w:ascii="Segoe UI" w:hAnsi="Segoe UI" w:cs="Segoe UI"/>
          <w:i/>
          <w:iCs/>
          <w:noProof/>
          <w:szCs w:val="24"/>
        </w:rPr>
        <w:t>9</w:t>
      </w:r>
      <w:r w:rsidRPr="00CC2B47">
        <w:rPr>
          <w:rFonts w:ascii="Segoe UI" w:hAnsi="Segoe UI" w:cs="Segoe UI"/>
          <w:noProof/>
          <w:szCs w:val="24"/>
        </w:rPr>
        <w:t>(3), 1423–1432.</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Tuti, M., &amp; Saputra, T. (2022). Hotel Guest’s Main Preferences in Hotel Online Booking: Pleasure or Usability. </w:t>
      </w:r>
      <w:r w:rsidRPr="00CC2B47">
        <w:rPr>
          <w:rFonts w:ascii="Segoe UI" w:hAnsi="Segoe UI" w:cs="Segoe UI"/>
          <w:i/>
          <w:iCs/>
          <w:noProof/>
          <w:szCs w:val="24"/>
        </w:rPr>
        <w:t>African Journal of Hospitality, Tourism and Leisure</w:t>
      </w:r>
      <w:r w:rsidRPr="00CC2B47">
        <w:rPr>
          <w:rFonts w:ascii="Segoe UI" w:hAnsi="Segoe UI" w:cs="Segoe UI"/>
          <w:noProof/>
          <w:szCs w:val="24"/>
        </w:rPr>
        <w:t xml:space="preserve">, </w:t>
      </w:r>
      <w:r w:rsidRPr="00CC2B47">
        <w:rPr>
          <w:rFonts w:ascii="Segoe UI" w:hAnsi="Segoe UI" w:cs="Segoe UI"/>
          <w:i/>
          <w:iCs/>
          <w:noProof/>
          <w:szCs w:val="24"/>
        </w:rPr>
        <w:t>11</w:t>
      </w:r>
      <w:r w:rsidRPr="00CC2B47">
        <w:rPr>
          <w:rFonts w:ascii="Segoe UI" w:hAnsi="Segoe UI" w:cs="Segoe UI"/>
          <w:noProof/>
          <w:szCs w:val="24"/>
        </w:rPr>
        <w:t>(2), 379–393. https://doi.org/10.46222/ajhtl.19770720.231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Um, S., Chon, K., &amp; Ro, Y. H. (2006). Antecedents of revisit intention. </w:t>
      </w:r>
      <w:r w:rsidRPr="00CC2B47">
        <w:rPr>
          <w:rFonts w:ascii="Segoe UI" w:hAnsi="Segoe UI" w:cs="Segoe UI"/>
          <w:i/>
          <w:iCs/>
          <w:noProof/>
          <w:szCs w:val="24"/>
        </w:rPr>
        <w:t>Annals of Tourism Research</w:t>
      </w:r>
      <w:r w:rsidRPr="00CC2B47">
        <w:rPr>
          <w:rFonts w:ascii="Segoe UI" w:hAnsi="Segoe UI" w:cs="Segoe UI"/>
          <w:noProof/>
          <w:szCs w:val="24"/>
        </w:rPr>
        <w:t xml:space="preserve">, </w:t>
      </w:r>
      <w:r w:rsidRPr="00CC2B47">
        <w:rPr>
          <w:rFonts w:ascii="Segoe UI" w:hAnsi="Segoe UI" w:cs="Segoe UI"/>
          <w:i/>
          <w:iCs/>
          <w:noProof/>
          <w:szCs w:val="24"/>
        </w:rPr>
        <w:t>33</w:t>
      </w:r>
      <w:r w:rsidRPr="00CC2B47">
        <w:rPr>
          <w:rFonts w:ascii="Segoe UI" w:hAnsi="Segoe UI" w:cs="Segoe UI"/>
          <w:noProof/>
          <w:szCs w:val="24"/>
        </w:rPr>
        <w:t>(4), 1141–1158. https://doi.org/10.1016/j.annals.2006.06.003</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Wang, C. Y., &amp; Hsu, M. K. (2010). The relationships of destination image, satisfaction, and behavioral intentions: An integrated model. </w:t>
      </w:r>
      <w:r w:rsidRPr="00CC2B47">
        <w:rPr>
          <w:rFonts w:ascii="Segoe UI" w:hAnsi="Segoe UI" w:cs="Segoe UI"/>
          <w:i/>
          <w:iCs/>
          <w:noProof/>
          <w:szCs w:val="24"/>
        </w:rPr>
        <w:t>Journal of Travel and Tourism Marketing</w:t>
      </w:r>
      <w:r w:rsidRPr="00CC2B47">
        <w:rPr>
          <w:rFonts w:ascii="Segoe UI" w:hAnsi="Segoe UI" w:cs="Segoe UI"/>
          <w:noProof/>
          <w:szCs w:val="24"/>
        </w:rPr>
        <w:t xml:space="preserve">, </w:t>
      </w:r>
      <w:r w:rsidRPr="00CC2B47">
        <w:rPr>
          <w:rFonts w:ascii="Segoe UI" w:hAnsi="Segoe UI" w:cs="Segoe UI"/>
          <w:i/>
          <w:iCs/>
          <w:noProof/>
          <w:szCs w:val="24"/>
        </w:rPr>
        <w:t>27</w:t>
      </w:r>
      <w:r w:rsidRPr="00CC2B47">
        <w:rPr>
          <w:rFonts w:ascii="Segoe UI" w:hAnsi="Segoe UI" w:cs="Segoe UI"/>
          <w:noProof/>
          <w:szCs w:val="24"/>
        </w:rPr>
        <w:t>(8), 829–843. https://doi.org/10.1080/10548408.2010.527249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Wang, Y., Xu, A. J., &amp; Zhang, Y. (2022).  L’Art Pour l’Art: Experiencing Art Reduces the Desire for Luxury Goods . </w:t>
      </w:r>
      <w:r w:rsidRPr="00CC2B47">
        <w:rPr>
          <w:rFonts w:ascii="Segoe UI" w:hAnsi="Segoe UI" w:cs="Segoe UI"/>
          <w:i/>
          <w:iCs/>
          <w:noProof/>
          <w:szCs w:val="24"/>
        </w:rPr>
        <w:t>Journal of Consumer Research</w:t>
      </w:r>
      <w:r w:rsidRPr="00CC2B47">
        <w:rPr>
          <w:rFonts w:ascii="Segoe UI" w:hAnsi="Segoe UI" w:cs="Segoe UI"/>
          <w:noProof/>
          <w:szCs w:val="24"/>
        </w:rPr>
        <w:t xml:space="preserve">, </w:t>
      </w:r>
      <w:r w:rsidRPr="00CC2B47">
        <w:rPr>
          <w:rFonts w:ascii="Segoe UI" w:hAnsi="Segoe UI" w:cs="Segoe UI"/>
          <w:i/>
          <w:iCs/>
          <w:noProof/>
          <w:szCs w:val="24"/>
        </w:rPr>
        <w:t>00</w:t>
      </w:r>
      <w:r w:rsidRPr="00CC2B47">
        <w:rPr>
          <w:rFonts w:ascii="Segoe UI" w:hAnsi="Segoe UI" w:cs="Segoe UI"/>
          <w:noProof/>
          <w:szCs w:val="24"/>
        </w:rPr>
        <w:t>. https://doi.org/10.1093/jcr/ucac016</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Yoon, Y., &amp; Uysal, M. (2005). An examination of the effects of motivation and satisfaction on destination loyalty: A structural model. </w:t>
      </w:r>
      <w:r w:rsidRPr="00CC2B47">
        <w:rPr>
          <w:rFonts w:ascii="Segoe UI" w:hAnsi="Segoe UI" w:cs="Segoe UI"/>
          <w:i/>
          <w:iCs/>
          <w:noProof/>
          <w:szCs w:val="24"/>
        </w:rPr>
        <w:t>Tourism Management</w:t>
      </w:r>
      <w:r w:rsidRPr="00CC2B47">
        <w:rPr>
          <w:rFonts w:ascii="Segoe UI" w:hAnsi="Segoe UI" w:cs="Segoe UI"/>
          <w:noProof/>
          <w:szCs w:val="24"/>
        </w:rPr>
        <w:t xml:space="preserve">, </w:t>
      </w:r>
      <w:r w:rsidRPr="00CC2B47">
        <w:rPr>
          <w:rFonts w:ascii="Segoe UI" w:hAnsi="Segoe UI" w:cs="Segoe UI"/>
          <w:i/>
          <w:iCs/>
          <w:noProof/>
          <w:szCs w:val="24"/>
        </w:rPr>
        <w:lastRenderedPageBreak/>
        <w:t>26</w:t>
      </w:r>
      <w:r w:rsidRPr="00CC2B47">
        <w:rPr>
          <w:rFonts w:ascii="Segoe UI" w:hAnsi="Segoe UI" w:cs="Segoe UI"/>
          <w:noProof/>
          <w:szCs w:val="24"/>
        </w:rPr>
        <w:t>(1), 45–56. https://doi.org/10.1016/j.tourman.2003.08.016</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rPr>
      </w:pPr>
      <w:r w:rsidRPr="00CC2B47">
        <w:rPr>
          <w:rFonts w:ascii="Segoe UI" w:hAnsi="Segoe UI" w:cs="Segoe UI"/>
          <w:noProof/>
          <w:szCs w:val="24"/>
        </w:rPr>
        <w:t xml:space="preserve">Zhang, H., Lu, L., &amp; Sun, F. (2021). Changing role of lifestyle in tourism entrepreneurship: Case study of Naked Retreats Enterprise. </w:t>
      </w:r>
      <w:r w:rsidRPr="00CC2B47">
        <w:rPr>
          <w:rFonts w:ascii="Segoe UI" w:hAnsi="Segoe UI" w:cs="Segoe UI"/>
          <w:i/>
          <w:iCs/>
          <w:noProof/>
          <w:szCs w:val="24"/>
        </w:rPr>
        <w:t>Tourism Management</w:t>
      </w:r>
      <w:r w:rsidRPr="00CC2B47">
        <w:rPr>
          <w:rFonts w:ascii="Segoe UI" w:hAnsi="Segoe UI" w:cs="Segoe UI"/>
          <w:noProof/>
          <w:szCs w:val="24"/>
        </w:rPr>
        <w:t xml:space="preserve">, </w:t>
      </w:r>
      <w:r w:rsidRPr="00CC2B47">
        <w:rPr>
          <w:rFonts w:ascii="Segoe UI" w:hAnsi="Segoe UI" w:cs="Segoe UI"/>
          <w:i/>
          <w:iCs/>
          <w:noProof/>
          <w:szCs w:val="24"/>
        </w:rPr>
        <w:t>84</w:t>
      </w:r>
      <w:r w:rsidRPr="00CC2B47">
        <w:rPr>
          <w:rFonts w:ascii="Segoe UI" w:hAnsi="Segoe UI" w:cs="Segoe UI"/>
          <w:noProof/>
          <w:szCs w:val="24"/>
        </w:rPr>
        <w:t>(189), 104259. https://doi.org/10.1016/j.tourman.2020.104259</w:t>
      </w:r>
    </w:p>
    <w:p w:rsidR="00AC52D6" w:rsidRPr="00DB3E33" w:rsidRDefault="00CC2B47" w:rsidP="00AC52D6">
      <w:pPr>
        <w:pStyle w:val="ISI"/>
        <w:rPr>
          <w:color w:val="333333"/>
        </w:rPr>
      </w:pPr>
      <w:r>
        <w:rPr>
          <w:color w:val="333333"/>
        </w:rPr>
        <w:fldChar w:fldCharType="end"/>
      </w:r>
    </w:p>
    <w:p w:rsidR="00DB3E33" w:rsidRDefault="00DB3E33" w:rsidP="00DB3E33">
      <w:pPr>
        <w:pStyle w:val="I-DAPUSTAKA"/>
        <w:ind w:left="0" w:firstLine="0"/>
        <w:rPr>
          <w:color w:val="333333"/>
        </w:rPr>
      </w:pPr>
    </w:p>
    <w:p w:rsidR="00AC52D6" w:rsidRPr="00DB3E33" w:rsidRDefault="005516D4" w:rsidP="00DB3E33">
      <w:pPr>
        <w:pStyle w:val="ISI"/>
      </w:pPr>
      <w:r w:rsidRPr="00DB3E33">
        <w:br w:type="page"/>
      </w:r>
    </w:p>
    <w:p w:rsidR="005443D4" w:rsidRPr="00DB3E33" w:rsidRDefault="005443D4" w:rsidP="00AC52D6">
      <w:pPr>
        <w:rPr>
          <w:color w:val="333333"/>
        </w:rPr>
      </w:pPr>
    </w:p>
    <w:sectPr w:rsidR="005443D4" w:rsidRPr="00DB3E33" w:rsidSect="00ED4C99">
      <w:headerReference w:type="default" r:id="rId14"/>
      <w:footnotePr>
        <w:numRestart w:val="eachSect"/>
      </w:footnotePr>
      <w:pgSz w:w="9979" w:h="14181" w:code="147"/>
      <w:pgMar w:top="1440" w:right="1440" w:bottom="1440" w:left="1440" w:header="1418" w:footer="14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59" w:rsidRDefault="00A21359">
      <w:r>
        <w:separator/>
      </w:r>
    </w:p>
  </w:endnote>
  <w:endnote w:type="continuationSeparator" w:id="0">
    <w:p w:rsidR="00A21359" w:rsidRDefault="00A2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Black">
    <w:altName w:val="Segoe UI Semibold"/>
    <w:charset w:val="00"/>
    <w:family w:val="swiss"/>
    <w:pitch w:val="variable"/>
    <w:sig w:usb0="00000001" w:usb1="4000E4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Emoji">
    <w:altName w:val="Segoe UI Symbol"/>
    <w:charset w:val="00"/>
    <w:family w:val="swiss"/>
    <w:pitch w:val="variable"/>
    <w:sig w:usb0="00000003" w:usb1="02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rabic Typesetting">
    <w:charset w:val="00"/>
    <w:family w:val="script"/>
    <w:pitch w:val="variable"/>
    <w:sig w:usb0="80002007" w:usb1="80000000" w:usb2="00000008" w:usb3="00000000" w:csb0="000000D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KFGQPC Uthman Taha Naskh">
    <w:charset w:val="B2"/>
    <w:family w:val="auto"/>
    <w:pitch w:val="variable"/>
    <w:sig w:usb0="80002001" w:usb1="9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OlSt BT">
    <w:altName w:val="Times New Roman"/>
    <w:panose1 w:val="00000000000000000000"/>
    <w:charset w:val="B2"/>
    <w:family w:val="roman"/>
    <w:notTrueType/>
    <w:pitch w:val="default"/>
    <w:sig w:usb0="00002001" w:usb1="00000000" w:usb2="00000000" w:usb3="00000000" w:csb0="00000040" w:csb1="00000000"/>
  </w:font>
  <w:font w:name="Futura BdCn BT">
    <w:altName w:val="Arial"/>
    <w:panose1 w:val="00000000000000000000"/>
    <w:charset w:val="B2"/>
    <w:family w:val="swiss"/>
    <w:notTrueType/>
    <w:pitch w:val="default"/>
    <w:sig w:usb0="00002001" w:usb1="00000000" w:usb2="00000000" w:usb3="00000000" w:csb0="00000040" w:csb1="00000000"/>
  </w:font>
  <w:font w:name="Humanst521 BT">
    <w:charset w:val="00"/>
    <w:family w:val="swiss"/>
    <w:pitch w:val="variable"/>
    <w:sig w:usb0="800000AF" w:usb1="1000204A" w:usb2="00000000" w:usb3="00000000" w:csb0="00000011" w:csb1="00000000"/>
  </w:font>
  <w:font w:name="Courier New">
    <w:panose1 w:val="02070309020205020404"/>
    <w:charset w:val="00"/>
    <w:family w:val="modern"/>
    <w:pitch w:val="fixed"/>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Arabic">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A" w:rsidRPr="004036D7" w:rsidRDefault="003A60BA" w:rsidP="005C7FF4">
    <w:pPr>
      <w:pStyle w:val="Footer"/>
      <w:pBdr>
        <w:top w:val="single" w:sz="4" w:space="6" w:color="auto"/>
      </w:pBdr>
      <w:spacing w:after="0" w:line="240" w:lineRule="auto"/>
      <w:jc w:val="right"/>
      <w:rPr>
        <w:color w:val="7E0000"/>
        <w:lang w:val="en-US"/>
      </w:rPr>
    </w:pPr>
    <w:r w:rsidRPr="004036D7">
      <w:rPr>
        <w:color w:val="7E0000"/>
        <w:szCs w:val="18"/>
        <w:lang w:val="en-US"/>
      </w:rPr>
      <w:t xml:space="preserve">Journal of Islamic </w:t>
    </w:r>
    <w:r w:rsidRPr="004036D7">
      <w:rPr>
        <w:color w:val="7E0000"/>
        <w:szCs w:val="18"/>
      </w:rPr>
      <w:t>Economics, Management, and Business</w:t>
    </w:r>
    <w:r w:rsidRPr="004036D7">
      <w:rPr>
        <w:color w:val="7E0000"/>
        <w:lang w:val="en-US"/>
      </w:rPr>
      <w:t xml:space="preserve"> </w:t>
    </w:r>
    <w:r w:rsidRPr="004036D7">
      <w:rPr>
        <w:color w:val="7E0000"/>
        <w:szCs w:val="18"/>
        <w:lang w:val="en-US"/>
      </w:rPr>
      <w:t>– Vol. 1 No. 1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A" w:rsidRPr="005C7FF4" w:rsidRDefault="003A60BA" w:rsidP="00114340">
    <w:pPr>
      <w:pStyle w:val="Footer"/>
      <w:pBdr>
        <w:top w:val="single" w:sz="4" w:space="6" w:color="auto"/>
      </w:pBdr>
      <w:spacing w:after="0" w:line="240" w:lineRule="auto"/>
      <w:rPr>
        <w:lang w:val="en-US"/>
      </w:rPr>
    </w:pPr>
    <w:r w:rsidRPr="005C7FF4">
      <w:rPr>
        <w:noProof/>
        <w:color w:val="7E0000"/>
        <w:szCs w:val="18"/>
        <w:lang w:eastAsia="id-ID"/>
      </w:rPr>
      <mc:AlternateContent>
        <mc:Choice Requires="wps">
          <w:drawing>
            <wp:anchor distT="0" distB="0" distL="114300" distR="114300" simplePos="0" relativeHeight="251659264" behindDoc="0" locked="0" layoutInCell="1" allowOverlap="1" wp14:anchorId="7DD2F31E" wp14:editId="20C5C4D4">
              <wp:simplePos x="0" y="0"/>
              <wp:positionH relativeFrom="column">
                <wp:posOffset>4343400</wp:posOffset>
              </wp:positionH>
              <wp:positionV relativeFrom="paragraph">
                <wp:posOffset>-1334770</wp:posOffset>
              </wp:positionV>
              <wp:extent cx="914400" cy="1028700"/>
              <wp:effectExtent l="0" t="0" r="0" b="12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BA" w:rsidRPr="00733114" w:rsidRDefault="003A60BA" w:rsidP="00733114">
                          <w:pPr>
                            <w:rPr>
                              <w:rFonts w:cs="Calibri"/>
                              <w:sz w:val="14"/>
                              <w:szCs w:val="14"/>
                              <w:lang w:val="en-US"/>
                            </w:rPr>
                          </w:pPr>
                          <w:r>
                            <w:rPr>
                              <w:rFonts w:cs="Calibri"/>
                              <w:sz w:val="14"/>
                              <w:szCs w:val="14"/>
                              <w:lang w:val="en-US"/>
                            </w:rPr>
                            <w:t>Received</w:t>
                          </w:r>
                          <w:proofErr w:type="gramStart"/>
                          <w:r>
                            <w:rPr>
                              <w:rFonts w:cs="Calibri"/>
                              <w:sz w:val="14"/>
                              <w:szCs w:val="14"/>
                              <w:lang w:val="en-US"/>
                            </w:rPr>
                            <w:t>:</w:t>
                          </w:r>
                          <w:proofErr w:type="gramEnd"/>
                          <w:r>
                            <w:rPr>
                              <w:rFonts w:cs="Calibri"/>
                              <w:sz w:val="14"/>
                              <w:szCs w:val="14"/>
                              <w:lang w:val="en-US"/>
                            </w:rPr>
                            <w:br/>
                            <w:t>Accepted:</w:t>
                          </w:r>
                          <w:r>
                            <w:rPr>
                              <w:rFonts w:cs="Calibri"/>
                              <w:sz w:val="14"/>
                              <w:szCs w:val="14"/>
                              <w:lang w:val="en-US"/>
                            </w:rPr>
                            <w:br/>
                            <w:t>Published: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342pt;margin-top:-105.1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rfwIAAA0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lW4xwj&#10;RToo0SdIGlEbyVEZ0tMbV4HXo3mwIUBnVpp+dUjpuxa8+I21um85YUAqC/7JiwPBcHAUrfv3mgE6&#10;2XodM7VvbBcAIQdoHwtyOBeE7z2isFhmRZFC2ShsZWk+n4ERriDV6bSxzr/lukNhUmML3CM62a2c&#10;H1xPLpG9loIthZTRsJv1nbRoR0Acy/gd0d2lm1TBWelwbEAcVoAk3BH2At1Y7Kcyy4v0Ni9Hy+l8&#10;NiqWxWRUztL5KM3K23KaFmVxv/wRCGZF1QrGuFoJxU/Cy4q/K+yxBQbJROmhHpI1yScx9hfs3WWQ&#10;afz+FGQnPPShFF2N52cnUoXCvlEMwiaVJ0IO8+Ql/VgQyMHpH7MSZRAqPyjI79f7o8wALKhirdkB&#10;dGE1lA1KDG8ITFptv2PUQz/W2H3bEssxku8UaCtKARo4GsVklsMZe7mzvtwhigJUjT1Gw/TOD02/&#10;NVZsWrgpi6lS+gb02IgolWdWRxVDz8WYju9DaOpLO3o9v2KLnwAAAP//AwBQSwMEFAAGAAgAAAAh&#10;AED0ztHgAAAADAEAAA8AAABkcnMvZG93bnJldi54bWxMj8FOwzAQRO9I/IO1lbi1dk2ITIhTIaSe&#10;gAMtEtdt7CZRYzvEThv+nuVEjzs7mnlTbmbXs7MdYxe8hvVKALO+DqbzjYbP/XapgMWE3mAfvNXw&#10;YyNsqtubEgsTLv7DnnepYRTiY4Ea2pSGgvNYt9ZhXIXBevodw+gw0Tk23Ix4oXDXcylEzh12nhpa&#10;HOxLa+vTbnIaMM/M9/vx/m3/OuX42Mxi+/AltL5bzM9PwJKd078Z/vAJHSpiOoTJm8h6DbnKaEvS&#10;sJRrIYGRRUlF0oGkTEngVcmvR1S/AAAA//8DAFBLAQItABQABgAIAAAAIQC2gziS/gAAAOEBAAAT&#10;AAAAAAAAAAAAAAAAAAAAAABbQ29udGVudF9UeXBlc10ueG1sUEsBAi0AFAAGAAgAAAAhADj9If/W&#10;AAAAlAEAAAsAAAAAAAAAAAAAAAAALwEAAF9yZWxzLy5yZWxzUEsBAi0AFAAGAAgAAAAhAP+8l+t/&#10;AgAADQUAAA4AAAAAAAAAAAAAAAAALgIAAGRycy9lMm9Eb2MueG1sUEsBAi0AFAAGAAgAAAAhAED0&#10;ztHgAAAADAEAAA8AAAAAAAAAAAAAAAAA2QQAAGRycy9kb3ducmV2LnhtbFBLBQYAAAAABAAEAPMA&#10;AADmBQAAAAA=&#10;" stroked="f">
              <v:textbox>
                <w:txbxContent>
                  <w:p w:rsidR="003A60BA" w:rsidRPr="00733114" w:rsidRDefault="003A60BA" w:rsidP="00733114">
                    <w:pPr>
                      <w:rPr>
                        <w:rFonts w:cs="Calibri"/>
                        <w:sz w:val="14"/>
                        <w:szCs w:val="14"/>
                        <w:lang w:val="en-US"/>
                      </w:rPr>
                    </w:pPr>
                    <w:r>
                      <w:rPr>
                        <w:rFonts w:cs="Calibri"/>
                        <w:sz w:val="14"/>
                        <w:szCs w:val="14"/>
                        <w:lang w:val="en-US"/>
                      </w:rPr>
                      <w:t>Received</w:t>
                    </w:r>
                    <w:proofErr w:type="gramStart"/>
                    <w:r>
                      <w:rPr>
                        <w:rFonts w:cs="Calibri"/>
                        <w:sz w:val="14"/>
                        <w:szCs w:val="14"/>
                        <w:lang w:val="en-US"/>
                      </w:rPr>
                      <w:t>:</w:t>
                    </w:r>
                    <w:proofErr w:type="gramEnd"/>
                    <w:r>
                      <w:rPr>
                        <w:rFonts w:cs="Calibri"/>
                        <w:sz w:val="14"/>
                        <w:szCs w:val="14"/>
                        <w:lang w:val="en-US"/>
                      </w:rPr>
                      <w:br/>
                      <w:t>Accepted:</w:t>
                    </w:r>
                    <w:r>
                      <w:rPr>
                        <w:rFonts w:cs="Calibri"/>
                        <w:sz w:val="14"/>
                        <w:szCs w:val="14"/>
                        <w:lang w:val="en-US"/>
                      </w:rPr>
                      <w:br/>
                      <w:t>Published:</w:t>
                    </w:r>
                  </w:p>
                </w:txbxContent>
              </v:textbox>
            </v:rect>
          </w:pict>
        </mc:Fallback>
      </mc:AlternateContent>
    </w:r>
    <w:r w:rsidRPr="005C7FF4">
      <w:rPr>
        <w:noProof/>
        <w:color w:val="7E0000"/>
        <w:szCs w:val="18"/>
      </w:rPr>
      <w:t>Journal of Islamic Economics, Management, and Business</w:t>
    </w:r>
    <w:r w:rsidRPr="005C7FF4">
      <w:rPr>
        <w:color w:val="7E0000"/>
        <w:lang w:val="en-US"/>
      </w:rPr>
      <w:t xml:space="preserve"> </w:t>
    </w:r>
    <w:r w:rsidRPr="005C7FF4">
      <w:rPr>
        <w:color w:val="7E0000"/>
        <w:szCs w:val="18"/>
        <w:lang w:val="en-US"/>
      </w:rPr>
      <w:t>– Vol. 1 No. 1 (2019)</w:t>
    </w:r>
    <w:r w:rsidRPr="005C7FF4">
      <w:rPr>
        <w:szCs w:val="18"/>
        <w:lang w:val="en-US"/>
      </w:rPr>
      <w:t xml:space="preserve">             </w:t>
    </w:r>
    <w:r w:rsidRPr="005C7FF4">
      <w:rPr>
        <w:spacing w:val="60"/>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59" w:rsidRPr="00EC082F" w:rsidRDefault="00A21359" w:rsidP="00EC082F">
      <w:pPr>
        <w:spacing w:before="60" w:after="180" w:line="240" w:lineRule="auto"/>
        <w:rPr>
          <w:lang w:val="en-US"/>
        </w:rPr>
      </w:pPr>
      <w:r>
        <w:t>_______________</w:t>
      </w:r>
    </w:p>
  </w:footnote>
  <w:footnote w:type="continuationSeparator" w:id="0">
    <w:p w:rsidR="00A21359" w:rsidRDefault="00A21359" w:rsidP="00EC082F">
      <w:pPr>
        <w:spacing w:before="60" w:after="180" w:line="240" w:lineRule="auto"/>
      </w:pPr>
      <w:r>
        <w:t>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A" w:rsidRPr="005C7FF4" w:rsidRDefault="003A60BA" w:rsidP="00DE4BA1">
    <w:pPr>
      <w:pStyle w:val="Header"/>
      <w:rPr>
        <w:i w:val="0"/>
        <w:iCs/>
      </w:rPr>
    </w:pPr>
    <w:r w:rsidRPr="005C7FF4">
      <w:rPr>
        <w:i w:val="0"/>
        <w:iCs/>
        <w:noProof/>
        <w:lang w:eastAsia="id-ID"/>
      </w:rPr>
      <mc:AlternateContent>
        <mc:Choice Requires="wps">
          <w:drawing>
            <wp:anchor distT="0" distB="0" distL="114300" distR="114300" simplePos="0" relativeHeight="251657216" behindDoc="0" locked="0" layoutInCell="0" allowOverlap="1" wp14:anchorId="04DCBB51" wp14:editId="230AC0BC">
              <wp:simplePos x="0" y="0"/>
              <wp:positionH relativeFrom="page">
                <wp:posOffset>276225</wp:posOffset>
              </wp:positionH>
              <wp:positionV relativeFrom="page">
                <wp:posOffset>1990725</wp:posOffset>
              </wp:positionV>
              <wp:extent cx="1069340" cy="415925"/>
              <wp:effectExtent l="0" t="0" r="0" b="31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BA" w:rsidRPr="00341285" w:rsidRDefault="003A60BA" w:rsidP="005C7FF4">
                          <w:r w:rsidRPr="005C7FF4">
                            <w:rPr>
                              <w:color w:val="7E0000"/>
                              <w:lang w:val="en-US"/>
                            </w:rPr>
                            <w:t>JI</w:t>
                          </w:r>
                          <w:r w:rsidRPr="005C7FF4">
                            <w:rPr>
                              <w:color w:val="7E0000"/>
                            </w:rPr>
                            <w:t>EMB</w:t>
                          </w:r>
                          <w:r w:rsidRPr="00341285">
                            <w:t xml:space="preserve"> | </w:t>
                          </w:r>
                          <w:r w:rsidRPr="00341285">
                            <w:fldChar w:fldCharType="begin"/>
                          </w:r>
                          <w:r w:rsidRPr="00341285">
                            <w:instrText xml:space="preserve"> PAGE   \* MERGEFORMAT </w:instrText>
                          </w:r>
                          <w:r w:rsidRPr="00341285">
                            <w:fldChar w:fldCharType="separate"/>
                          </w:r>
                          <w:r w:rsidR="00C344AD">
                            <w:rPr>
                              <w:noProof/>
                            </w:rPr>
                            <w:t>24</w:t>
                          </w:r>
                          <w:r w:rsidRPr="00341285">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3" o:spid="_x0000_s1026" style="position:absolute;margin-left:21.75pt;margin-top:156.75pt;width:84.2pt;height:32.75pt;z-index:25165721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dcfQIAAP4EAAAOAAAAZHJzL2Uyb0RvYy54bWysVFFv2yAQfp+0/4B4T22nThpbcao2madJ&#10;3Vat2w8ggGM0DAxInHbaf9+BkzTd9jBN8wPm4Pj47u475tf7TqIdt05oVeHsIsWIK6qZUJsKf/lc&#10;j2YYOU8UI1IrXuFH7vD14vWreW9KPtatloxbBCDKlb2pcOu9KZPE0ZZ3xF1owxVsNtp2xINpNwmz&#10;pAf0TibjNJ0mvbbMWE25c7C6GjbxIuI3Daf+Y9M47pGsMHDzcbRxXIcxWcxJubHEtIIeaJB/YNER&#10;oeDSE9SKeIK2VvwG1QlqtdONv6C6S3TTCMpjDBBNlv4SzUNLDI+xQHKcOaXJ/T9Y+mF3b5FgFc4x&#10;UqSDEn2CpBG1kRxdhvT0xpXg9WDubQjQmTtNvzqk9LIFL35jre5bThiQyoJ/8uJAMBwcRev+vWaA&#10;TrZex0ztG9sFQMgB2seCPJ4KwvceUVjM0mlxmUPdKOzl2aQYT+IVpDyeNtb5t1x3KEwqbIF7RCe7&#10;O+cDG1IeXSJ7LQWrhZTRsJv1Ulq0IyCOOn4HdHfuJlVwVjocGxCHFSAJd4S9QDcW+3uRjfP0dlyM&#10;6unsapTX+WRUXKWzUZoVt8U0zYt8Vf8IBLO8bAVjXN0JxY/Cy/K/K+yhBQbJROmhvsLFBLIT4zpn&#10;786DTOP3pyA74aEPpegqPDs5kTIU9o1iEDYpPRFymCcv6ccsQw6O/5iVKINQ+UFBfr/eA0qQw1qz&#10;RxCE1VAvKC08HjBptX3CqIdGrLD7tiWWYyTfKRBV6No4ySdXYzDscXV9vkoUBYgKe4yG6dIPXb41&#10;VmxauCEbcmNuQIC1iNp4ZnOQLTRZDOLwIIQuPrej1/OztfgJAAD//wMAUEsDBBQABgAIAAAAIQCI&#10;3YKN3wAAAAoBAAAPAAAAZHJzL2Rvd25yZXYueG1sTI9NbsIwEIX3lbiDNUhsquIktNCkcRCiogs2&#10;qNADmHiaRI3HUWwguX2HVTur+Xl675t8PdhWXLH3jSMF8TwCgVQ601Cl4Ou0e3oF4YMmo1tHqGBE&#10;D+ti8pDrzLgbfeL1GCrBJuQzraAOocuk9GWNVvu565D49u16qwOPfSVNr29sbluZRNFSWt0QJ9S6&#10;w22N5c/xYhWsTofdx+O2WnLtm/dxNIekS5WaTYfNG4iAQ/gTwx2f0aFgprO7kPGiVfC8eGGlgkV8&#10;b1iQxHEK4sybVRqBLHL5/4XiFwAA//8DAFBLAQItABQABgAIAAAAIQC2gziS/gAAAOEBAAATAAAA&#10;AAAAAAAAAAAAAAAAAABbQ29udGVudF9UeXBlc10ueG1sUEsBAi0AFAAGAAgAAAAhADj9If/WAAAA&#10;lAEAAAsAAAAAAAAAAAAAAAAALwEAAF9yZWxzLy5yZWxzUEsBAi0AFAAGAAgAAAAhACnW51x9AgAA&#10;/gQAAA4AAAAAAAAAAAAAAAAALgIAAGRycy9lMm9Eb2MueG1sUEsBAi0AFAAGAAgAAAAhAIjdgo3f&#10;AAAACgEAAA8AAAAAAAAAAAAAAAAA1wQAAGRycy9kb3ducmV2LnhtbFBLBQYAAAAABAAEAPMAAADj&#10;BQAAAAA=&#10;" o:allowincell="f" stroked="f">
              <v:textbox style="mso-fit-shape-to-text:t" inset="0,,0">
                <w:txbxContent>
                  <w:p w:rsidR="003A60BA" w:rsidRPr="00341285" w:rsidRDefault="003A60BA" w:rsidP="005C7FF4">
                    <w:r w:rsidRPr="005C7FF4">
                      <w:rPr>
                        <w:color w:val="7E0000"/>
                        <w:lang w:val="en-US"/>
                      </w:rPr>
                      <w:t>JI</w:t>
                    </w:r>
                    <w:r w:rsidRPr="005C7FF4">
                      <w:rPr>
                        <w:color w:val="7E0000"/>
                      </w:rPr>
                      <w:t>EMB</w:t>
                    </w:r>
                    <w:r w:rsidRPr="00341285">
                      <w:t xml:space="preserve"> | </w:t>
                    </w:r>
                    <w:r w:rsidRPr="00341285">
                      <w:fldChar w:fldCharType="begin"/>
                    </w:r>
                    <w:r w:rsidRPr="00341285">
                      <w:instrText xml:space="preserve"> PAGE   \* MERGEFORMAT </w:instrText>
                    </w:r>
                    <w:r w:rsidRPr="00341285">
                      <w:fldChar w:fldCharType="separate"/>
                    </w:r>
                    <w:r w:rsidR="00C344AD">
                      <w:rPr>
                        <w:noProof/>
                      </w:rPr>
                      <w:t>24</w:t>
                    </w:r>
                    <w:r w:rsidRPr="00341285">
                      <w:rPr>
                        <w:noProof/>
                      </w:rPr>
                      <w:fldChar w:fldCharType="end"/>
                    </w:r>
                  </w:p>
                </w:txbxContent>
              </v:textbox>
              <w10:wrap anchorx="page" anchory="page"/>
            </v:rect>
          </w:pict>
        </mc:Fallback>
      </mc:AlternateContent>
    </w:r>
    <w:r>
      <w:rPr>
        <w:i w:val="0"/>
        <w:iCs/>
      </w:rPr>
      <w:t xml:space="preserve">Name of the author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A" w:rsidRPr="00993AAD" w:rsidRDefault="003A60BA" w:rsidP="005C7FF4">
    <w:pPr>
      <w:pStyle w:val="Header"/>
      <w:rPr>
        <w:lang w:val="en-US"/>
      </w:rPr>
    </w:pPr>
    <w:r w:rsidRPr="00993AAD">
      <w:rPr>
        <w:noProof/>
        <w:lang w:eastAsia="id-ID"/>
      </w:rPr>
      <mc:AlternateContent>
        <mc:Choice Requires="wps">
          <w:drawing>
            <wp:anchor distT="0" distB="0" distL="114300" distR="114300" simplePos="0" relativeHeight="251656192" behindDoc="0" locked="0" layoutInCell="0" allowOverlap="1" wp14:anchorId="6E90A983" wp14:editId="3EC3EFCA">
              <wp:simplePos x="0" y="0"/>
              <wp:positionH relativeFrom="page">
                <wp:posOffset>5426075</wp:posOffset>
              </wp:positionH>
              <wp:positionV relativeFrom="page">
                <wp:posOffset>2120900</wp:posOffset>
              </wp:positionV>
              <wp:extent cx="1068705" cy="415925"/>
              <wp:effectExtent l="0" t="0" r="63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BA" w:rsidRPr="00341285" w:rsidRDefault="003A60BA" w:rsidP="005C7FF4">
                          <w:r w:rsidRPr="005C7FF4">
                            <w:rPr>
                              <w:b/>
                              <w:bCs/>
                              <w:color w:val="7E0000"/>
                              <w:lang w:val="en-US"/>
                            </w:rPr>
                            <w:t>J</w:t>
                          </w:r>
                          <w:r w:rsidRPr="005C7FF4">
                            <w:rPr>
                              <w:b/>
                              <w:bCs/>
                              <w:color w:val="7E0000"/>
                            </w:rPr>
                            <w:t>IEMB</w:t>
                          </w:r>
                          <w:r w:rsidRPr="00993AAD">
                            <w:rPr>
                              <w:b/>
                              <w:bCs/>
                            </w:rPr>
                            <w:t xml:space="preserve"> </w:t>
                          </w:r>
                          <w:r w:rsidRPr="00341285">
                            <w:t xml:space="preserve">| </w:t>
                          </w:r>
                          <w:r w:rsidRPr="00341285">
                            <w:fldChar w:fldCharType="begin"/>
                          </w:r>
                          <w:r w:rsidRPr="00341285">
                            <w:instrText xml:space="preserve"> PAGE   \* MERGEFORMAT </w:instrText>
                          </w:r>
                          <w:r w:rsidRPr="00341285">
                            <w:fldChar w:fldCharType="separate"/>
                          </w:r>
                          <w:r w:rsidR="00C344AD">
                            <w:rPr>
                              <w:noProof/>
                            </w:rPr>
                            <w:t>1</w:t>
                          </w:r>
                          <w:r w:rsidRPr="00341285">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4" o:spid="_x0000_s1027" style="position:absolute;margin-left:427.25pt;margin-top:167pt;width:84.15pt;height:32.75pt;z-index:25165619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e9fwIAAAUFAAAOAAAAZHJzL2Uyb0RvYy54bWysVNuO0zAQfUfiHyy/t7mQdpuo6WovBCEt&#10;sGLhA1zbaSwc29hu0wXx74ydttsFHhAiD47HHh+fmTnj5eW+l2jHrRNa1TibphhxRTUTalPjz5+a&#10;yQIj54liRGrFa/zIHb5cvXyxHEzFc91pybhFAKJcNZgad96bKkkc7XhP3FQbrmCz1bYnHky7SZgl&#10;A6D3MsnTdJ4M2jJjNeXOwertuIlXEb9tOfUf2tZxj2SNgZuPo43jOozJakmqjSWmE/RAg/wDi54I&#10;BZeeoG6JJ2hrxW9QvaBWO936KdV9ottWUB5jgGiy9JdoHjpieIwFkuPMKU3u/8HS97t7iwSr8SuM&#10;FOmhRB8haURtJEdFSM9gXAVeD+behgCdudP0i0NK33Tgxa+s1UPHCQNSWfBPnh0IhoOjaD280wzQ&#10;ydbrmKl9a/sACDlA+1iQx1NB+N4jCotZOl9cpDOMKOwV2azMZ/EKUh1PG+v8G657FCY1tsA9opPd&#10;nfOBDamOLpG9loI1Qspo2M36Rlq0IyCOJn4HdHfuJlVwVjocGxHHFSAJd4S9QDcW+3uZ5UV6nZeT&#10;BohPiqaYTcqLdDFJs/K6nKdFWdw2PwLBrKg6wRhXd0Lxo/Cy4u8Ke2iBUTJRemiocTmD7MS4ztm7&#10;8yDT+P0pyF546EMp+hovTk6kCoV9rRiETSpPhBznyXP6McuQg+M/ZiXKIFR+VJDfr/dRZlEjQRVr&#10;zR5BF1ZD2aAz4Q2BSaftN4wG6Mcau69bYjlG8q0CbYXmjZNidpGDYY+r6/NVoihA1NhjNE5v/Njs&#10;W2PFpoMbsjFF5gp02IgokSc2B/VCr8VYDu9CaOZzO3o9vV6rnwAAAP//AwBQSwMEFAAGAAgAAAAh&#10;AAvENbLhAAAADAEAAA8AAABkcnMvZG93bnJldi54bWxMj8FuwjAQRO+V+g/WVuqlAqeBUBLioIqK&#10;HnpBQD/AxEsSNV5HsYHk77uc2r3tzmj2Tb4ebCuu2PvGkYLXaQQCqXSmoUrB93E7WYLwQZPRrSNU&#10;MKKHdfH4kOvMuBvt8XoIleAQ8plWUIfQZVL6skar/dR1SKydXW914LWvpOn1jcNtK+MoWkirG+IP&#10;te5wU2P5c7hYBW/H3fbzZVMteL6aj3E0u7hLlXp+Gt5XIAIO4c8Md3xGh4KZTu5CxotWwTKZJ2xV&#10;MJvNudTdEcUxtznxKU0TkEUu/5cofgEAAP//AwBQSwECLQAUAAYACAAAACEAtoM4kv4AAADhAQAA&#10;EwAAAAAAAAAAAAAAAAAAAAAAW0NvbnRlbnRfVHlwZXNdLnhtbFBLAQItABQABgAIAAAAIQA4/SH/&#10;1gAAAJQBAAALAAAAAAAAAAAAAAAAAC8BAABfcmVscy8ucmVsc1BLAQItABQABgAIAAAAIQCNA2e9&#10;fwIAAAUFAAAOAAAAAAAAAAAAAAAAAC4CAABkcnMvZTJvRG9jLnhtbFBLAQItABQABgAIAAAAIQAL&#10;xDWy4QAAAAwBAAAPAAAAAAAAAAAAAAAAANkEAABkcnMvZG93bnJldi54bWxQSwUGAAAAAAQABADz&#10;AAAA5wUAAAAA&#10;" o:allowincell="f" stroked="f">
              <v:textbox style="mso-fit-shape-to-text:t" inset="0,,0">
                <w:txbxContent>
                  <w:p w:rsidR="003A60BA" w:rsidRPr="00341285" w:rsidRDefault="003A60BA" w:rsidP="005C7FF4">
                    <w:r w:rsidRPr="005C7FF4">
                      <w:rPr>
                        <w:b/>
                        <w:bCs/>
                        <w:color w:val="7E0000"/>
                        <w:lang w:val="en-US"/>
                      </w:rPr>
                      <w:t>J</w:t>
                    </w:r>
                    <w:r w:rsidRPr="005C7FF4">
                      <w:rPr>
                        <w:b/>
                        <w:bCs/>
                        <w:color w:val="7E0000"/>
                      </w:rPr>
                      <w:t>IEMB</w:t>
                    </w:r>
                    <w:r w:rsidRPr="00993AAD">
                      <w:rPr>
                        <w:b/>
                        <w:bCs/>
                      </w:rPr>
                      <w:t xml:space="preserve"> </w:t>
                    </w:r>
                    <w:r w:rsidRPr="00341285">
                      <w:t xml:space="preserve">| </w:t>
                    </w:r>
                    <w:r w:rsidRPr="00341285">
                      <w:fldChar w:fldCharType="begin"/>
                    </w:r>
                    <w:r w:rsidRPr="00341285">
                      <w:instrText xml:space="preserve"> PAGE   \* MERGEFORMAT </w:instrText>
                    </w:r>
                    <w:r w:rsidRPr="00341285">
                      <w:fldChar w:fldCharType="separate"/>
                    </w:r>
                    <w:r w:rsidR="00C344AD">
                      <w:rPr>
                        <w:noProof/>
                      </w:rPr>
                      <w:t>1</w:t>
                    </w:r>
                    <w:r w:rsidRPr="00341285">
                      <w:rPr>
                        <w:noProof/>
                      </w:rPr>
                      <w:fldChar w:fldCharType="end"/>
                    </w:r>
                  </w:p>
                </w:txbxContent>
              </v:textbox>
              <w10:wrap anchorx="page" anchory="page"/>
            </v:rect>
          </w:pict>
        </mc:Fallback>
      </mc:AlternateContent>
    </w:r>
    <w:r w:rsidRPr="00993AAD">
      <w:rPr>
        <w:lang w:val="en-US"/>
      </w:rPr>
      <w:t xml:space="preserve">Journal of Islamic </w:t>
    </w:r>
    <w:r w:rsidRPr="005C7FF4">
      <w:t>Economics</w:t>
    </w:r>
    <w:r w:rsidRPr="00993AAD">
      <w:t xml:space="preserve">, Management, and Business </w:t>
    </w:r>
    <w:r w:rsidRPr="00993AAD">
      <w:rPr>
        <w:lang w:val="en-US"/>
      </w:rPr>
      <w:br/>
      <w:t xml:space="preserve">Vol. 1 No. 1 (2019), 1-32; DOI: 08777.9999.117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A" w:rsidRPr="00341285" w:rsidRDefault="003A60BA" w:rsidP="007B7C2C">
    <w:pPr>
      <w:pStyle w:val="Header"/>
      <w:jc w:val="right"/>
      <w:rPr>
        <w:sz w:val="20"/>
        <w:szCs w:val="20"/>
        <w:lang w:val="en-US"/>
      </w:rPr>
    </w:pPr>
    <w:r w:rsidRPr="00341285">
      <w:rPr>
        <w:noProof/>
        <w:sz w:val="20"/>
        <w:szCs w:val="20"/>
        <w:lang w:eastAsia="id-ID"/>
      </w:rPr>
      <mc:AlternateContent>
        <mc:Choice Requires="wps">
          <w:drawing>
            <wp:anchor distT="0" distB="0" distL="114300" distR="114300" simplePos="0" relativeHeight="251658240" behindDoc="0" locked="0" layoutInCell="0" allowOverlap="1" wp14:anchorId="7B41AC12" wp14:editId="2173169E">
              <wp:simplePos x="0" y="0"/>
              <wp:positionH relativeFrom="page">
                <wp:posOffset>5426075</wp:posOffset>
              </wp:positionH>
              <wp:positionV relativeFrom="page">
                <wp:posOffset>1994535</wp:posOffset>
              </wp:positionV>
              <wp:extent cx="1065530" cy="434975"/>
              <wp:effectExtent l="0" t="3810" r="3810" b="6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BA" w:rsidRPr="004036D7" w:rsidRDefault="003A60BA" w:rsidP="00DB1AD2">
                          <w:pPr>
                            <w:pBdr>
                              <w:top w:val="single" w:sz="4" w:space="1" w:color="D8D8D8"/>
                            </w:pBdr>
                            <w:rPr>
                              <w:color w:val="4472C4"/>
                            </w:rPr>
                          </w:pPr>
                          <w:r w:rsidRPr="004036D7">
                            <w:rPr>
                              <w:color w:val="7E0000"/>
                              <w:lang w:val="en-US"/>
                            </w:rPr>
                            <w:t>J</w:t>
                          </w:r>
                          <w:r w:rsidRPr="004036D7">
                            <w:rPr>
                              <w:color w:val="7E0000"/>
                            </w:rPr>
                            <w:t>IEMB</w:t>
                          </w:r>
                          <w:r w:rsidRPr="00AE05F8">
                            <w:rPr>
                              <w:color w:val="4472C4"/>
                            </w:rPr>
                            <w:t xml:space="preserve"> </w:t>
                          </w:r>
                          <w:r w:rsidRPr="004036D7">
                            <w:t xml:space="preserve">| </w:t>
                          </w:r>
                          <w:r w:rsidRPr="004036D7">
                            <w:fldChar w:fldCharType="begin"/>
                          </w:r>
                          <w:r w:rsidRPr="004036D7">
                            <w:instrText xml:space="preserve"> PAGE   \* MERGEFORMAT </w:instrText>
                          </w:r>
                          <w:r w:rsidRPr="004036D7">
                            <w:fldChar w:fldCharType="separate"/>
                          </w:r>
                          <w:r w:rsidR="00C344AD">
                            <w:rPr>
                              <w:noProof/>
                            </w:rPr>
                            <w:t>25</w:t>
                          </w:r>
                          <w:r w:rsidRPr="004036D7">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6" o:spid="_x0000_s1029" style="position:absolute;left:0;text-align:left;margin-left:427.25pt;margin-top:157.05pt;width:83.9pt;height:34.25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IlgQIAAAUFAAAOAAAAZHJzL2Uyb0RvYy54bWysVNuO0zAQfUfiHyy/d5N0k7aJNl3thSCk&#10;BVYsfIBrO42FYxvbbbqL+HfGTtvtAg8IkQfHl/GZMzNnfHG56yXacuuEVjXOzlKMuKKaCbWu8ZfP&#10;zWSBkfNEMSK14jV+5A5fLl+/uhhMxae605JxiwBEuWowNe68N1WSONrxnrgzbbiCw1bbnnhY2nXC&#10;LBkAvZfJNE1nyaAtM1ZT7hzs3o6HeBnx25ZT/7FtHfdI1hi4+TjaOK7CmCwvSLW2xHSC7mmQf2DR&#10;E6HA6RHqlniCNlb8BtULarXTrT+juk902wrKYwwQTZb+Es1DRwyPsUBynDmmyf0/WPphe2+RYFA7&#10;jBTpoUSfIGlErSVHs5CewbgKrB7MvQ0BOnOn6VeHlL7pwIpfWauHjhMGpLJgn7y4EBYOrqLV8F4z&#10;QCcbr2Omdq3tAyDkAO1iQR6PBeE7jyhsZumsKM6hbhTO8vO8nBfRBakOt411/i3XPQqTGlvgHtHJ&#10;9s75wIZUB5PIXkvBGiFlXNj16kZatCUgjiZ+e3R3aiZVMFY6XBsRxx0gCT7CWaAbi/29zKZ5ej0t&#10;J81sMZ/kTV5Mynm6mKRZeV3O0rzMb5sfgWCWV51gjKs7ofhBeFn+d4Xdt8AomSg9NNS4LKZFjP0F&#10;e3caZBq/PwXZCw99KEVf48XRiFShsG8Ug7BJ5YmQ4zx5ST9mGXJw+MesRBmEyo8K8rvVLsrsPHgP&#10;qlhp9gi6sBrKBhWGNwQmnbZPGA3QjzV23zbEcozkOwXaCs0bJ3kxn8LCHnZXp7tEUYCoscdonN74&#10;sdk3xop1Bx6yMUXmCnTYiCiRZzZ79UKvxVj270Jo5tN1tHp+vZY/AQAA//8DAFBLAwQUAAYACAAA&#10;ACEApmrKu+EAAAAMAQAADwAAAGRycy9kb3ducmV2LnhtbEyPwU7DMAyG75N4h8hIXCaWtttKKU0n&#10;NDQOXCY2HiBrTFvROFWTbe3b453AN9uffn8uNqPtxAUH3zpSEC8iEEiVMy3VCr6Ou8cMhA+ajO4c&#10;oYIJPWzKu1mhc+Ou9ImXQ6gFh5DPtYImhD6X0lcNWu0Xrkfi3bcbrA7cDrU0g75yuO1kEkWptLol&#10;vtDoHrcNVj+Hs1XwdNzv3ufbOuX6aN+myeyT/lmph/vx9QVEwDH8wXDTZ3Uo2enkzmS86BRk69Wa&#10;UQXLeBWDuBFRkixBnHiUJSnIspD/nyh/AQAA//8DAFBLAQItABQABgAIAAAAIQC2gziS/gAAAOEB&#10;AAATAAAAAAAAAAAAAAAAAAAAAABbQ29udGVudF9UeXBlc10ueG1sUEsBAi0AFAAGAAgAAAAhADj9&#10;If/WAAAAlAEAAAsAAAAAAAAAAAAAAAAALwEAAF9yZWxzLy5yZWxzUEsBAi0AFAAGAAgAAAAhAFk4&#10;ciWBAgAABQUAAA4AAAAAAAAAAAAAAAAALgIAAGRycy9lMm9Eb2MueG1sUEsBAi0AFAAGAAgAAAAh&#10;AKZqyrvhAAAADAEAAA8AAAAAAAAAAAAAAAAA2wQAAGRycy9kb3ducmV2LnhtbFBLBQYAAAAABAAE&#10;APMAAADpBQAAAAA=&#10;" o:allowincell="f" stroked="f">
              <v:textbox style="mso-fit-shape-to-text:t" inset="0,,0">
                <w:txbxContent>
                  <w:p w:rsidR="003A60BA" w:rsidRPr="004036D7" w:rsidRDefault="003A60BA" w:rsidP="00DB1AD2">
                    <w:pPr>
                      <w:pBdr>
                        <w:top w:val="single" w:sz="4" w:space="1" w:color="D8D8D8"/>
                      </w:pBdr>
                      <w:rPr>
                        <w:color w:val="4472C4"/>
                      </w:rPr>
                    </w:pPr>
                    <w:r w:rsidRPr="004036D7">
                      <w:rPr>
                        <w:color w:val="7E0000"/>
                        <w:lang w:val="en-US"/>
                      </w:rPr>
                      <w:t>J</w:t>
                    </w:r>
                    <w:r w:rsidRPr="004036D7">
                      <w:rPr>
                        <w:color w:val="7E0000"/>
                      </w:rPr>
                      <w:t>IEMB</w:t>
                    </w:r>
                    <w:r w:rsidRPr="00AE05F8">
                      <w:rPr>
                        <w:color w:val="4472C4"/>
                      </w:rPr>
                      <w:t xml:space="preserve"> </w:t>
                    </w:r>
                    <w:r w:rsidRPr="004036D7">
                      <w:t xml:space="preserve">| </w:t>
                    </w:r>
                    <w:r w:rsidRPr="004036D7">
                      <w:fldChar w:fldCharType="begin"/>
                    </w:r>
                    <w:r w:rsidRPr="004036D7">
                      <w:instrText xml:space="preserve"> PAGE   \* MERGEFORMAT </w:instrText>
                    </w:r>
                    <w:r w:rsidRPr="004036D7">
                      <w:fldChar w:fldCharType="separate"/>
                    </w:r>
                    <w:r w:rsidR="00C344AD">
                      <w:rPr>
                        <w:noProof/>
                      </w:rPr>
                      <w:t>25</w:t>
                    </w:r>
                    <w:r w:rsidRPr="004036D7">
                      <w:rPr>
                        <w:noProof/>
                      </w:rPr>
                      <w:fldChar w:fldCharType="end"/>
                    </w:r>
                  </w:p>
                </w:txbxContent>
              </v:textbox>
              <w10:wrap anchorx="page" anchory="page"/>
            </v:rect>
          </w:pict>
        </mc:Fallback>
      </mc:AlternateContent>
    </w:r>
    <w:r w:rsidRPr="00341285">
      <w:rPr>
        <w:sz w:val="20"/>
        <w:szCs w:val="20"/>
        <w:lang w:val="en-US"/>
      </w:rPr>
      <w:t xml:space="preserve"> Are characteristics of sharia supervisory boards able 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D40FB"/>
    <w:multiLevelType w:val="multilevel"/>
    <w:tmpl w:val="4BB4A0C2"/>
    <w:lvl w:ilvl="0">
      <w:start w:val="1"/>
      <w:numFmt w:val="decimal"/>
      <w:lvlText w:val="%1."/>
      <w:lvlJc w:val="left"/>
      <w:pPr>
        <w:ind w:left="1069" w:hanging="360"/>
      </w:pPr>
    </w:lvl>
    <w:lvl w:ilvl="1">
      <w:start w:val="1"/>
      <w:numFmt w:val="decimal"/>
      <w:lvlText w:val="%1.%2."/>
      <w:lvlJc w:val="left"/>
      <w:pPr>
        <w:ind w:left="709" w:firstLine="0"/>
      </w:pPr>
    </w:lvl>
    <w:lvl w:ilvl="2">
      <w:start w:val="1"/>
      <w:numFmt w:val="decimal"/>
      <w:lvlText w:val="%1.%2.%3."/>
      <w:lvlJc w:val="left"/>
      <w:pPr>
        <w:ind w:left="709" w:firstLine="0"/>
      </w:pPr>
    </w:lvl>
    <w:lvl w:ilvl="3">
      <w:start w:val="1"/>
      <w:numFmt w:val="decimal"/>
      <w:lvlText w:val="%1.%2.%3.%4."/>
      <w:lvlJc w:val="left"/>
      <w:pPr>
        <w:ind w:left="709" w:firstLine="0"/>
      </w:pPr>
    </w:lvl>
    <w:lvl w:ilvl="4">
      <w:start w:val="1"/>
      <w:numFmt w:val="decimal"/>
      <w:lvlText w:val="%1.%2.%3.%4.%5."/>
      <w:lvlJc w:val="left"/>
      <w:pPr>
        <w:ind w:left="709" w:firstLine="0"/>
      </w:pPr>
    </w:lvl>
    <w:lvl w:ilvl="5">
      <w:start w:val="1"/>
      <w:numFmt w:val="decimal"/>
      <w:lvlText w:val="%1.%2.%3.%4.%5.%6."/>
      <w:lvlJc w:val="left"/>
      <w:pPr>
        <w:ind w:left="709" w:firstLine="0"/>
      </w:pPr>
    </w:lvl>
    <w:lvl w:ilvl="6">
      <w:start w:val="1"/>
      <w:numFmt w:val="decimal"/>
      <w:lvlText w:val="%1.%2.%3.%4.%5.%6.%7."/>
      <w:lvlJc w:val="left"/>
      <w:pPr>
        <w:ind w:left="709" w:firstLine="0"/>
      </w:pPr>
    </w:lvl>
    <w:lvl w:ilvl="7">
      <w:start w:val="1"/>
      <w:numFmt w:val="decimal"/>
      <w:lvlText w:val="%1.%2.%3.%4.%5.%6.%7.%8."/>
      <w:lvlJc w:val="left"/>
      <w:pPr>
        <w:ind w:left="709" w:firstLine="0"/>
      </w:pPr>
    </w:lvl>
    <w:lvl w:ilvl="8">
      <w:start w:val="1"/>
      <w:numFmt w:val="decimal"/>
      <w:lvlText w:val="%1..%3.%4.%5.%6.%7.%8.%9."/>
      <w:lvlJc w:val="left"/>
      <w:pPr>
        <w:ind w:left="709"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21"/>
    <w:rsid w:val="00000554"/>
    <w:rsid w:val="000059F6"/>
    <w:rsid w:val="000131FD"/>
    <w:rsid w:val="00015182"/>
    <w:rsid w:val="00022448"/>
    <w:rsid w:val="000228C3"/>
    <w:rsid w:val="000243AA"/>
    <w:rsid w:val="00024C0A"/>
    <w:rsid w:val="00026438"/>
    <w:rsid w:val="00030804"/>
    <w:rsid w:val="0003456C"/>
    <w:rsid w:val="00035FF1"/>
    <w:rsid w:val="00036ED0"/>
    <w:rsid w:val="000379F9"/>
    <w:rsid w:val="00037A6A"/>
    <w:rsid w:val="00041C24"/>
    <w:rsid w:val="000421F0"/>
    <w:rsid w:val="00046105"/>
    <w:rsid w:val="0004702C"/>
    <w:rsid w:val="000620E6"/>
    <w:rsid w:val="00063DD8"/>
    <w:rsid w:val="00063E39"/>
    <w:rsid w:val="00065A2C"/>
    <w:rsid w:val="00067DDE"/>
    <w:rsid w:val="00070351"/>
    <w:rsid w:val="00070F08"/>
    <w:rsid w:val="00076D46"/>
    <w:rsid w:val="00095249"/>
    <w:rsid w:val="000A0084"/>
    <w:rsid w:val="000A322B"/>
    <w:rsid w:val="000A4D1E"/>
    <w:rsid w:val="000A5051"/>
    <w:rsid w:val="000A650B"/>
    <w:rsid w:val="000B220B"/>
    <w:rsid w:val="000B3090"/>
    <w:rsid w:val="000B4447"/>
    <w:rsid w:val="000C2DEB"/>
    <w:rsid w:val="000C3341"/>
    <w:rsid w:val="000C3DC2"/>
    <w:rsid w:val="000C4736"/>
    <w:rsid w:val="000C6FC5"/>
    <w:rsid w:val="000D0361"/>
    <w:rsid w:val="000D1451"/>
    <w:rsid w:val="000D2D60"/>
    <w:rsid w:val="000D32A3"/>
    <w:rsid w:val="000D48AA"/>
    <w:rsid w:val="000D58BF"/>
    <w:rsid w:val="000E31D8"/>
    <w:rsid w:val="000E5189"/>
    <w:rsid w:val="000F100F"/>
    <w:rsid w:val="000F2D5D"/>
    <w:rsid w:val="000F2EE9"/>
    <w:rsid w:val="000F5FE7"/>
    <w:rsid w:val="000F6B2D"/>
    <w:rsid w:val="000F7CA2"/>
    <w:rsid w:val="001027E7"/>
    <w:rsid w:val="00103243"/>
    <w:rsid w:val="001060E7"/>
    <w:rsid w:val="001073F8"/>
    <w:rsid w:val="001104C8"/>
    <w:rsid w:val="00111E65"/>
    <w:rsid w:val="001121D0"/>
    <w:rsid w:val="00114340"/>
    <w:rsid w:val="00131B7E"/>
    <w:rsid w:val="00132CCD"/>
    <w:rsid w:val="001369C3"/>
    <w:rsid w:val="001417A6"/>
    <w:rsid w:val="00141DE0"/>
    <w:rsid w:val="00143CD1"/>
    <w:rsid w:val="00145D34"/>
    <w:rsid w:val="00146C8C"/>
    <w:rsid w:val="00147F79"/>
    <w:rsid w:val="001539B4"/>
    <w:rsid w:val="00155912"/>
    <w:rsid w:val="00156A62"/>
    <w:rsid w:val="001605D8"/>
    <w:rsid w:val="00170BDB"/>
    <w:rsid w:val="0017734B"/>
    <w:rsid w:val="00181238"/>
    <w:rsid w:val="001845A7"/>
    <w:rsid w:val="00185084"/>
    <w:rsid w:val="00185A65"/>
    <w:rsid w:val="00187E25"/>
    <w:rsid w:val="0019025B"/>
    <w:rsid w:val="00193871"/>
    <w:rsid w:val="0019598E"/>
    <w:rsid w:val="001A2B35"/>
    <w:rsid w:val="001B024D"/>
    <w:rsid w:val="001B1A1B"/>
    <w:rsid w:val="001B1CA6"/>
    <w:rsid w:val="001B3B61"/>
    <w:rsid w:val="001B61E5"/>
    <w:rsid w:val="001C27C9"/>
    <w:rsid w:val="001D3C05"/>
    <w:rsid w:val="001F26B0"/>
    <w:rsid w:val="001F6CE7"/>
    <w:rsid w:val="00201583"/>
    <w:rsid w:val="002038C8"/>
    <w:rsid w:val="00203CB1"/>
    <w:rsid w:val="002065AD"/>
    <w:rsid w:val="0020737B"/>
    <w:rsid w:val="0020779B"/>
    <w:rsid w:val="002107F6"/>
    <w:rsid w:val="0021090A"/>
    <w:rsid w:val="00220ADD"/>
    <w:rsid w:val="00230E45"/>
    <w:rsid w:val="0024286F"/>
    <w:rsid w:val="0024502B"/>
    <w:rsid w:val="00255C03"/>
    <w:rsid w:val="002562E8"/>
    <w:rsid w:val="00257967"/>
    <w:rsid w:val="00261075"/>
    <w:rsid w:val="0026321A"/>
    <w:rsid w:val="002642DC"/>
    <w:rsid w:val="002655F1"/>
    <w:rsid w:val="002656FE"/>
    <w:rsid w:val="00271C06"/>
    <w:rsid w:val="00272B76"/>
    <w:rsid w:val="00273141"/>
    <w:rsid w:val="00276733"/>
    <w:rsid w:val="00276D3D"/>
    <w:rsid w:val="00281BAE"/>
    <w:rsid w:val="00281CD0"/>
    <w:rsid w:val="0028240C"/>
    <w:rsid w:val="0028459C"/>
    <w:rsid w:val="002903AE"/>
    <w:rsid w:val="00292824"/>
    <w:rsid w:val="002967ED"/>
    <w:rsid w:val="00296ACB"/>
    <w:rsid w:val="002A0572"/>
    <w:rsid w:val="002A0D5D"/>
    <w:rsid w:val="002B19AE"/>
    <w:rsid w:val="002B2601"/>
    <w:rsid w:val="002C2568"/>
    <w:rsid w:val="002C4158"/>
    <w:rsid w:val="002C717A"/>
    <w:rsid w:val="002E269C"/>
    <w:rsid w:val="002E3146"/>
    <w:rsid w:val="002E3991"/>
    <w:rsid w:val="002E5E0D"/>
    <w:rsid w:val="002F2030"/>
    <w:rsid w:val="002F73C0"/>
    <w:rsid w:val="0030120C"/>
    <w:rsid w:val="00301439"/>
    <w:rsid w:val="00303A27"/>
    <w:rsid w:val="0030403E"/>
    <w:rsid w:val="003042CE"/>
    <w:rsid w:val="00305DD7"/>
    <w:rsid w:val="00316A31"/>
    <w:rsid w:val="00324633"/>
    <w:rsid w:val="0032465B"/>
    <w:rsid w:val="00324900"/>
    <w:rsid w:val="00324B6A"/>
    <w:rsid w:val="003359FE"/>
    <w:rsid w:val="00340096"/>
    <w:rsid w:val="00341285"/>
    <w:rsid w:val="00350298"/>
    <w:rsid w:val="00355BB9"/>
    <w:rsid w:val="00357000"/>
    <w:rsid w:val="00357460"/>
    <w:rsid w:val="00361CBF"/>
    <w:rsid w:val="00363CB6"/>
    <w:rsid w:val="00364C7F"/>
    <w:rsid w:val="003677F2"/>
    <w:rsid w:val="003717BD"/>
    <w:rsid w:val="0037252D"/>
    <w:rsid w:val="00373D43"/>
    <w:rsid w:val="003751FF"/>
    <w:rsid w:val="00376BE0"/>
    <w:rsid w:val="00376FD3"/>
    <w:rsid w:val="00377302"/>
    <w:rsid w:val="00377475"/>
    <w:rsid w:val="00381DF9"/>
    <w:rsid w:val="0038215C"/>
    <w:rsid w:val="0038244D"/>
    <w:rsid w:val="0038354A"/>
    <w:rsid w:val="00384DE9"/>
    <w:rsid w:val="003865CB"/>
    <w:rsid w:val="00387776"/>
    <w:rsid w:val="003A0D02"/>
    <w:rsid w:val="003A60BA"/>
    <w:rsid w:val="003B0F70"/>
    <w:rsid w:val="003B57FA"/>
    <w:rsid w:val="003B5A05"/>
    <w:rsid w:val="003B6F84"/>
    <w:rsid w:val="003C4671"/>
    <w:rsid w:val="003C4CCA"/>
    <w:rsid w:val="003C5485"/>
    <w:rsid w:val="003C5555"/>
    <w:rsid w:val="003D0AB3"/>
    <w:rsid w:val="003D7B34"/>
    <w:rsid w:val="003E4299"/>
    <w:rsid w:val="003E6D88"/>
    <w:rsid w:val="003F22C2"/>
    <w:rsid w:val="003F2E65"/>
    <w:rsid w:val="003F5069"/>
    <w:rsid w:val="003F7524"/>
    <w:rsid w:val="0040103D"/>
    <w:rsid w:val="004036D7"/>
    <w:rsid w:val="00406FA4"/>
    <w:rsid w:val="0040774B"/>
    <w:rsid w:val="00416DCE"/>
    <w:rsid w:val="00420A5D"/>
    <w:rsid w:val="004217B9"/>
    <w:rsid w:val="004254E1"/>
    <w:rsid w:val="00434182"/>
    <w:rsid w:val="004342B7"/>
    <w:rsid w:val="00437554"/>
    <w:rsid w:val="00440BCC"/>
    <w:rsid w:val="00442338"/>
    <w:rsid w:val="004433D6"/>
    <w:rsid w:val="004444C3"/>
    <w:rsid w:val="0045092B"/>
    <w:rsid w:val="004606FD"/>
    <w:rsid w:val="004610E7"/>
    <w:rsid w:val="00461D89"/>
    <w:rsid w:val="004674A5"/>
    <w:rsid w:val="00467778"/>
    <w:rsid w:val="00470E8B"/>
    <w:rsid w:val="004734CA"/>
    <w:rsid w:val="0047598D"/>
    <w:rsid w:val="004768EE"/>
    <w:rsid w:val="00476C94"/>
    <w:rsid w:val="00477AFE"/>
    <w:rsid w:val="00481AB2"/>
    <w:rsid w:val="004831D9"/>
    <w:rsid w:val="00484481"/>
    <w:rsid w:val="00484925"/>
    <w:rsid w:val="00484B52"/>
    <w:rsid w:val="00486A71"/>
    <w:rsid w:val="0049149A"/>
    <w:rsid w:val="00497FBC"/>
    <w:rsid w:val="004A118D"/>
    <w:rsid w:val="004B21EE"/>
    <w:rsid w:val="004B3AC6"/>
    <w:rsid w:val="004B3BF1"/>
    <w:rsid w:val="004C01D2"/>
    <w:rsid w:val="004C0E0C"/>
    <w:rsid w:val="004C105F"/>
    <w:rsid w:val="004C1E7B"/>
    <w:rsid w:val="004C3EA3"/>
    <w:rsid w:val="004C50A5"/>
    <w:rsid w:val="004C6929"/>
    <w:rsid w:val="004C7890"/>
    <w:rsid w:val="004E2A2D"/>
    <w:rsid w:val="004E4428"/>
    <w:rsid w:val="004F10E8"/>
    <w:rsid w:val="004F396D"/>
    <w:rsid w:val="00504030"/>
    <w:rsid w:val="00505E5B"/>
    <w:rsid w:val="005133BE"/>
    <w:rsid w:val="00516D04"/>
    <w:rsid w:val="00520796"/>
    <w:rsid w:val="005211BC"/>
    <w:rsid w:val="005232E7"/>
    <w:rsid w:val="00523589"/>
    <w:rsid w:val="00525A72"/>
    <w:rsid w:val="00532792"/>
    <w:rsid w:val="00532978"/>
    <w:rsid w:val="00532FE9"/>
    <w:rsid w:val="00535BF8"/>
    <w:rsid w:val="00536405"/>
    <w:rsid w:val="00537C58"/>
    <w:rsid w:val="005422EB"/>
    <w:rsid w:val="005443D4"/>
    <w:rsid w:val="00545D3E"/>
    <w:rsid w:val="005516D4"/>
    <w:rsid w:val="00555308"/>
    <w:rsid w:val="0055568B"/>
    <w:rsid w:val="00563420"/>
    <w:rsid w:val="005639A7"/>
    <w:rsid w:val="005729DB"/>
    <w:rsid w:val="005749C1"/>
    <w:rsid w:val="005759D3"/>
    <w:rsid w:val="00575B53"/>
    <w:rsid w:val="00577130"/>
    <w:rsid w:val="00585D0B"/>
    <w:rsid w:val="00586025"/>
    <w:rsid w:val="00587AB2"/>
    <w:rsid w:val="00592585"/>
    <w:rsid w:val="00595AED"/>
    <w:rsid w:val="005A47C4"/>
    <w:rsid w:val="005B6B5D"/>
    <w:rsid w:val="005C3D9B"/>
    <w:rsid w:val="005C70B9"/>
    <w:rsid w:val="005C7FF4"/>
    <w:rsid w:val="005D4F8B"/>
    <w:rsid w:val="005D605A"/>
    <w:rsid w:val="005E104C"/>
    <w:rsid w:val="005E3B9A"/>
    <w:rsid w:val="005E4642"/>
    <w:rsid w:val="005E48E8"/>
    <w:rsid w:val="005E5E29"/>
    <w:rsid w:val="005F1C12"/>
    <w:rsid w:val="005F6CA3"/>
    <w:rsid w:val="006008BD"/>
    <w:rsid w:val="00607580"/>
    <w:rsid w:val="006129F2"/>
    <w:rsid w:val="0061302C"/>
    <w:rsid w:val="00623365"/>
    <w:rsid w:val="00623B4C"/>
    <w:rsid w:val="00626613"/>
    <w:rsid w:val="00636A66"/>
    <w:rsid w:val="00643E1C"/>
    <w:rsid w:val="006530F7"/>
    <w:rsid w:val="006533F2"/>
    <w:rsid w:val="00655247"/>
    <w:rsid w:val="00660A60"/>
    <w:rsid w:val="006620AD"/>
    <w:rsid w:val="006636D3"/>
    <w:rsid w:val="00673862"/>
    <w:rsid w:val="00674737"/>
    <w:rsid w:val="00681E17"/>
    <w:rsid w:val="00685263"/>
    <w:rsid w:val="00685318"/>
    <w:rsid w:val="00686B0A"/>
    <w:rsid w:val="00691428"/>
    <w:rsid w:val="00694230"/>
    <w:rsid w:val="006A3FF2"/>
    <w:rsid w:val="006A481C"/>
    <w:rsid w:val="006A516A"/>
    <w:rsid w:val="006B0A3C"/>
    <w:rsid w:val="006B4B86"/>
    <w:rsid w:val="006C04BD"/>
    <w:rsid w:val="006D1E08"/>
    <w:rsid w:val="006D3900"/>
    <w:rsid w:val="006D51B1"/>
    <w:rsid w:val="006E0C4A"/>
    <w:rsid w:val="006E23D1"/>
    <w:rsid w:val="006E3A06"/>
    <w:rsid w:val="006F17B7"/>
    <w:rsid w:val="006F1F02"/>
    <w:rsid w:val="006F3839"/>
    <w:rsid w:val="006F4683"/>
    <w:rsid w:val="007040A7"/>
    <w:rsid w:val="00704E60"/>
    <w:rsid w:val="0070534E"/>
    <w:rsid w:val="00705C01"/>
    <w:rsid w:val="00706EE3"/>
    <w:rsid w:val="00713B70"/>
    <w:rsid w:val="0072080B"/>
    <w:rsid w:val="00720E16"/>
    <w:rsid w:val="00721115"/>
    <w:rsid w:val="00722F53"/>
    <w:rsid w:val="007239AE"/>
    <w:rsid w:val="00724B23"/>
    <w:rsid w:val="0072742B"/>
    <w:rsid w:val="00733114"/>
    <w:rsid w:val="00740103"/>
    <w:rsid w:val="0074022B"/>
    <w:rsid w:val="00745268"/>
    <w:rsid w:val="00746D07"/>
    <w:rsid w:val="0075066E"/>
    <w:rsid w:val="0075237C"/>
    <w:rsid w:val="007569D8"/>
    <w:rsid w:val="00757138"/>
    <w:rsid w:val="00757526"/>
    <w:rsid w:val="0076131C"/>
    <w:rsid w:val="00761CD2"/>
    <w:rsid w:val="00762262"/>
    <w:rsid w:val="007728C5"/>
    <w:rsid w:val="00774FF1"/>
    <w:rsid w:val="00777D82"/>
    <w:rsid w:val="0078403C"/>
    <w:rsid w:val="00784C65"/>
    <w:rsid w:val="00787201"/>
    <w:rsid w:val="007910CE"/>
    <w:rsid w:val="00792164"/>
    <w:rsid w:val="007948F0"/>
    <w:rsid w:val="007A6437"/>
    <w:rsid w:val="007A7408"/>
    <w:rsid w:val="007B1028"/>
    <w:rsid w:val="007B5B2F"/>
    <w:rsid w:val="007B6CE1"/>
    <w:rsid w:val="007B7C2C"/>
    <w:rsid w:val="007C02C1"/>
    <w:rsid w:val="007C2ADE"/>
    <w:rsid w:val="007C2D04"/>
    <w:rsid w:val="007C40F4"/>
    <w:rsid w:val="007D79DB"/>
    <w:rsid w:val="007E28C4"/>
    <w:rsid w:val="007E5612"/>
    <w:rsid w:val="007E7785"/>
    <w:rsid w:val="007F20B2"/>
    <w:rsid w:val="007F2843"/>
    <w:rsid w:val="007F4F51"/>
    <w:rsid w:val="007F7483"/>
    <w:rsid w:val="007F7CFE"/>
    <w:rsid w:val="008021F3"/>
    <w:rsid w:val="008032C3"/>
    <w:rsid w:val="0080701C"/>
    <w:rsid w:val="00811AD1"/>
    <w:rsid w:val="008202B5"/>
    <w:rsid w:val="00820E0F"/>
    <w:rsid w:val="008211CA"/>
    <w:rsid w:val="00822AA8"/>
    <w:rsid w:val="00823450"/>
    <w:rsid w:val="008258C3"/>
    <w:rsid w:val="00832D01"/>
    <w:rsid w:val="008331F9"/>
    <w:rsid w:val="00833547"/>
    <w:rsid w:val="00841532"/>
    <w:rsid w:val="0084758F"/>
    <w:rsid w:val="00850926"/>
    <w:rsid w:val="008575F3"/>
    <w:rsid w:val="0086261B"/>
    <w:rsid w:val="008671AF"/>
    <w:rsid w:val="00867514"/>
    <w:rsid w:val="00871106"/>
    <w:rsid w:val="00871132"/>
    <w:rsid w:val="00874545"/>
    <w:rsid w:val="00876C8F"/>
    <w:rsid w:val="00884637"/>
    <w:rsid w:val="00885772"/>
    <w:rsid w:val="00895871"/>
    <w:rsid w:val="00895D3F"/>
    <w:rsid w:val="00896B08"/>
    <w:rsid w:val="008A05C2"/>
    <w:rsid w:val="008A6B36"/>
    <w:rsid w:val="008B2B74"/>
    <w:rsid w:val="008B3CFC"/>
    <w:rsid w:val="008B6818"/>
    <w:rsid w:val="008B79D8"/>
    <w:rsid w:val="008C104A"/>
    <w:rsid w:val="008C2190"/>
    <w:rsid w:val="008C3B3E"/>
    <w:rsid w:val="008C69EF"/>
    <w:rsid w:val="008D11AF"/>
    <w:rsid w:val="008D2042"/>
    <w:rsid w:val="008D51A3"/>
    <w:rsid w:val="008E1266"/>
    <w:rsid w:val="008E1F17"/>
    <w:rsid w:val="008E35EE"/>
    <w:rsid w:val="008F131C"/>
    <w:rsid w:val="008F1426"/>
    <w:rsid w:val="008F165E"/>
    <w:rsid w:val="008F6C9D"/>
    <w:rsid w:val="008F7075"/>
    <w:rsid w:val="008F752B"/>
    <w:rsid w:val="008F7884"/>
    <w:rsid w:val="009021C9"/>
    <w:rsid w:val="00907533"/>
    <w:rsid w:val="00915040"/>
    <w:rsid w:val="009228E2"/>
    <w:rsid w:val="009278CB"/>
    <w:rsid w:val="0093043C"/>
    <w:rsid w:val="00940B53"/>
    <w:rsid w:val="009411FD"/>
    <w:rsid w:val="00941E81"/>
    <w:rsid w:val="00943668"/>
    <w:rsid w:val="0094690A"/>
    <w:rsid w:val="00957CF2"/>
    <w:rsid w:val="00965998"/>
    <w:rsid w:val="009678B7"/>
    <w:rsid w:val="009729F6"/>
    <w:rsid w:val="00972C54"/>
    <w:rsid w:val="00974F91"/>
    <w:rsid w:val="00983589"/>
    <w:rsid w:val="009870AE"/>
    <w:rsid w:val="00993AAD"/>
    <w:rsid w:val="009A165A"/>
    <w:rsid w:val="009A167A"/>
    <w:rsid w:val="009A194B"/>
    <w:rsid w:val="009A1B57"/>
    <w:rsid w:val="009A31D6"/>
    <w:rsid w:val="009A65CD"/>
    <w:rsid w:val="009B2DE9"/>
    <w:rsid w:val="009B2E84"/>
    <w:rsid w:val="009C01D9"/>
    <w:rsid w:val="009C0EDE"/>
    <w:rsid w:val="009C2C35"/>
    <w:rsid w:val="009C4CFD"/>
    <w:rsid w:val="009C57E0"/>
    <w:rsid w:val="009C5C68"/>
    <w:rsid w:val="009D10FD"/>
    <w:rsid w:val="009D4607"/>
    <w:rsid w:val="009D5521"/>
    <w:rsid w:val="009E5DE3"/>
    <w:rsid w:val="009F4986"/>
    <w:rsid w:val="00A005A8"/>
    <w:rsid w:val="00A03CD0"/>
    <w:rsid w:val="00A11CEC"/>
    <w:rsid w:val="00A14558"/>
    <w:rsid w:val="00A1539D"/>
    <w:rsid w:val="00A168A4"/>
    <w:rsid w:val="00A21359"/>
    <w:rsid w:val="00A2635E"/>
    <w:rsid w:val="00A26CAC"/>
    <w:rsid w:val="00A30D90"/>
    <w:rsid w:val="00A3478B"/>
    <w:rsid w:val="00A366C3"/>
    <w:rsid w:val="00A41EC3"/>
    <w:rsid w:val="00A45390"/>
    <w:rsid w:val="00A51573"/>
    <w:rsid w:val="00A54076"/>
    <w:rsid w:val="00A55C23"/>
    <w:rsid w:val="00A55DB9"/>
    <w:rsid w:val="00A578F6"/>
    <w:rsid w:val="00A57FA0"/>
    <w:rsid w:val="00A60AF5"/>
    <w:rsid w:val="00A6584E"/>
    <w:rsid w:val="00A7621B"/>
    <w:rsid w:val="00A8050A"/>
    <w:rsid w:val="00A8286B"/>
    <w:rsid w:val="00A83CC7"/>
    <w:rsid w:val="00A844DE"/>
    <w:rsid w:val="00A85B76"/>
    <w:rsid w:val="00A914B3"/>
    <w:rsid w:val="00A941FC"/>
    <w:rsid w:val="00AB30A4"/>
    <w:rsid w:val="00AB46D7"/>
    <w:rsid w:val="00AB4FDC"/>
    <w:rsid w:val="00AC0987"/>
    <w:rsid w:val="00AC3644"/>
    <w:rsid w:val="00AC3A90"/>
    <w:rsid w:val="00AC4406"/>
    <w:rsid w:val="00AC52D6"/>
    <w:rsid w:val="00AC5AE7"/>
    <w:rsid w:val="00AC7A63"/>
    <w:rsid w:val="00AD0E02"/>
    <w:rsid w:val="00AE05F8"/>
    <w:rsid w:val="00AE24B7"/>
    <w:rsid w:val="00AE502D"/>
    <w:rsid w:val="00AE5A5F"/>
    <w:rsid w:val="00AE6F90"/>
    <w:rsid w:val="00AF17F2"/>
    <w:rsid w:val="00AF2729"/>
    <w:rsid w:val="00AF7EDF"/>
    <w:rsid w:val="00B056C1"/>
    <w:rsid w:val="00B05ECB"/>
    <w:rsid w:val="00B06007"/>
    <w:rsid w:val="00B14EF4"/>
    <w:rsid w:val="00B23046"/>
    <w:rsid w:val="00B2635D"/>
    <w:rsid w:val="00B2686E"/>
    <w:rsid w:val="00B275D0"/>
    <w:rsid w:val="00B466C5"/>
    <w:rsid w:val="00B51DC5"/>
    <w:rsid w:val="00B53762"/>
    <w:rsid w:val="00B54F88"/>
    <w:rsid w:val="00B55DC3"/>
    <w:rsid w:val="00B5711D"/>
    <w:rsid w:val="00B57637"/>
    <w:rsid w:val="00B57892"/>
    <w:rsid w:val="00B669C1"/>
    <w:rsid w:val="00B72A3A"/>
    <w:rsid w:val="00B74942"/>
    <w:rsid w:val="00B80DC1"/>
    <w:rsid w:val="00B82BCF"/>
    <w:rsid w:val="00B82D9D"/>
    <w:rsid w:val="00B83EE5"/>
    <w:rsid w:val="00B85177"/>
    <w:rsid w:val="00B96C8E"/>
    <w:rsid w:val="00BA25CA"/>
    <w:rsid w:val="00BA2CA7"/>
    <w:rsid w:val="00BA3320"/>
    <w:rsid w:val="00BA4424"/>
    <w:rsid w:val="00BA55D7"/>
    <w:rsid w:val="00BA75C0"/>
    <w:rsid w:val="00BB23CE"/>
    <w:rsid w:val="00BB35ED"/>
    <w:rsid w:val="00BC3844"/>
    <w:rsid w:val="00BD10F1"/>
    <w:rsid w:val="00BD19D0"/>
    <w:rsid w:val="00BD2374"/>
    <w:rsid w:val="00BD4A7E"/>
    <w:rsid w:val="00BE372C"/>
    <w:rsid w:val="00BE4E1A"/>
    <w:rsid w:val="00BE5C02"/>
    <w:rsid w:val="00BE6C3D"/>
    <w:rsid w:val="00BF0FE9"/>
    <w:rsid w:val="00C01173"/>
    <w:rsid w:val="00C013B4"/>
    <w:rsid w:val="00C01FE0"/>
    <w:rsid w:val="00C02330"/>
    <w:rsid w:val="00C03A40"/>
    <w:rsid w:val="00C04F53"/>
    <w:rsid w:val="00C11A7A"/>
    <w:rsid w:val="00C1542E"/>
    <w:rsid w:val="00C263E3"/>
    <w:rsid w:val="00C31BD8"/>
    <w:rsid w:val="00C32180"/>
    <w:rsid w:val="00C32229"/>
    <w:rsid w:val="00C32E95"/>
    <w:rsid w:val="00C33CBA"/>
    <w:rsid w:val="00C344AD"/>
    <w:rsid w:val="00C364CC"/>
    <w:rsid w:val="00C44442"/>
    <w:rsid w:val="00C459CE"/>
    <w:rsid w:val="00C45C93"/>
    <w:rsid w:val="00C46FD2"/>
    <w:rsid w:val="00C47F0A"/>
    <w:rsid w:val="00C51918"/>
    <w:rsid w:val="00C52640"/>
    <w:rsid w:val="00C578AE"/>
    <w:rsid w:val="00C62525"/>
    <w:rsid w:val="00C629E2"/>
    <w:rsid w:val="00C63058"/>
    <w:rsid w:val="00C70659"/>
    <w:rsid w:val="00C72F7F"/>
    <w:rsid w:val="00C81D5F"/>
    <w:rsid w:val="00C876F3"/>
    <w:rsid w:val="00C92B8A"/>
    <w:rsid w:val="00C95288"/>
    <w:rsid w:val="00C97F9C"/>
    <w:rsid w:val="00CA020E"/>
    <w:rsid w:val="00CA6FDE"/>
    <w:rsid w:val="00CB0290"/>
    <w:rsid w:val="00CB0650"/>
    <w:rsid w:val="00CB4554"/>
    <w:rsid w:val="00CB7471"/>
    <w:rsid w:val="00CB7C1E"/>
    <w:rsid w:val="00CC13AC"/>
    <w:rsid w:val="00CC2B47"/>
    <w:rsid w:val="00CC75DC"/>
    <w:rsid w:val="00CC7810"/>
    <w:rsid w:val="00CD0AEF"/>
    <w:rsid w:val="00CD0D1D"/>
    <w:rsid w:val="00CD1AE0"/>
    <w:rsid w:val="00CD37E4"/>
    <w:rsid w:val="00CE10B0"/>
    <w:rsid w:val="00CE1513"/>
    <w:rsid w:val="00CE779B"/>
    <w:rsid w:val="00CF0A94"/>
    <w:rsid w:val="00CF50DC"/>
    <w:rsid w:val="00CF7D21"/>
    <w:rsid w:val="00D016E4"/>
    <w:rsid w:val="00D02C01"/>
    <w:rsid w:val="00D056CE"/>
    <w:rsid w:val="00D07C0C"/>
    <w:rsid w:val="00D15E33"/>
    <w:rsid w:val="00D1763F"/>
    <w:rsid w:val="00D17943"/>
    <w:rsid w:val="00D225BB"/>
    <w:rsid w:val="00D24AF1"/>
    <w:rsid w:val="00D26CE5"/>
    <w:rsid w:val="00D27977"/>
    <w:rsid w:val="00D30548"/>
    <w:rsid w:val="00D30ADA"/>
    <w:rsid w:val="00D369B3"/>
    <w:rsid w:val="00D404C1"/>
    <w:rsid w:val="00D420C2"/>
    <w:rsid w:val="00D4553D"/>
    <w:rsid w:val="00D46312"/>
    <w:rsid w:val="00D46C4B"/>
    <w:rsid w:val="00D4789E"/>
    <w:rsid w:val="00D54005"/>
    <w:rsid w:val="00D5460C"/>
    <w:rsid w:val="00D56CE0"/>
    <w:rsid w:val="00D60EF6"/>
    <w:rsid w:val="00D628C2"/>
    <w:rsid w:val="00D630B2"/>
    <w:rsid w:val="00D665EA"/>
    <w:rsid w:val="00D66DE3"/>
    <w:rsid w:val="00D67870"/>
    <w:rsid w:val="00D86D91"/>
    <w:rsid w:val="00D8785E"/>
    <w:rsid w:val="00D9154A"/>
    <w:rsid w:val="00D92EDC"/>
    <w:rsid w:val="00D9736D"/>
    <w:rsid w:val="00D97EAF"/>
    <w:rsid w:val="00DA2042"/>
    <w:rsid w:val="00DB1AD2"/>
    <w:rsid w:val="00DB1EB1"/>
    <w:rsid w:val="00DB3E33"/>
    <w:rsid w:val="00DB4843"/>
    <w:rsid w:val="00DB5193"/>
    <w:rsid w:val="00DB5482"/>
    <w:rsid w:val="00DC0CBF"/>
    <w:rsid w:val="00DC3ECF"/>
    <w:rsid w:val="00DC4056"/>
    <w:rsid w:val="00DC4164"/>
    <w:rsid w:val="00DD2034"/>
    <w:rsid w:val="00DD5D0A"/>
    <w:rsid w:val="00DE4BA1"/>
    <w:rsid w:val="00DE5BE2"/>
    <w:rsid w:val="00DE72E3"/>
    <w:rsid w:val="00DF6163"/>
    <w:rsid w:val="00E00B9A"/>
    <w:rsid w:val="00E00F6D"/>
    <w:rsid w:val="00E0609F"/>
    <w:rsid w:val="00E10161"/>
    <w:rsid w:val="00E240B4"/>
    <w:rsid w:val="00E248D1"/>
    <w:rsid w:val="00E35CFC"/>
    <w:rsid w:val="00E36B84"/>
    <w:rsid w:val="00E36CF0"/>
    <w:rsid w:val="00E513BD"/>
    <w:rsid w:val="00E52308"/>
    <w:rsid w:val="00E52646"/>
    <w:rsid w:val="00E5391C"/>
    <w:rsid w:val="00E57BAD"/>
    <w:rsid w:val="00E620EB"/>
    <w:rsid w:val="00E70C10"/>
    <w:rsid w:val="00E727C5"/>
    <w:rsid w:val="00E75690"/>
    <w:rsid w:val="00E829C2"/>
    <w:rsid w:val="00E85F0A"/>
    <w:rsid w:val="00E865EE"/>
    <w:rsid w:val="00EA26CE"/>
    <w:rsid w:val="00EA4BF4"/>
    <w:rsid w:val="00EA75B7"/>
    <w:rsid w:val="00EB59FA"/>
    <w:rsid w:val="00EC03F4"/>
    <w:rsid w:val="00EC082F"/>
    <w:rsid w:val="00EC104F"/>
    <w:rsid w:val="00EC1077"/>
    <w:rsid w:val="00EC149E"/>
    <w:rsid w:val="00EC490F"/>
    <w:rsid w:val="00EC54B5"/>
    <w:rsid w:val="00EC7EB7"/>
    <w:rsid w:val="00ED4C99"/>
    <w:rsid w:val="00ED73B4"/>
    <w:rsid w:val="00ED74FC"/>
    <w:rsid w:val="00EE2541"/>
    <w:rsid w:val="00EE42D1"/>
    <w:rsid w:val="00EE45A6"/>
    <w:rsid w:val="00EE5745"/>
    <w:rsid w:val="00EF50E4"/>
    <w:rsid w:val="00F0713C"/>
    <w:rsid w:val="00F10525"/>
    <w:rsid w:val="00F111E1"/>
    <w:rsid w:val="00F1701B"/>
    <w:rsid w:val="00F20C2C"/>
    <w:rsid w:val="00F23531"/>
    <w:rsid w:val="00F238BA"/>
    <w:rsid w:val="00F23D1A"/>
    <w:rsid w:val="00F2710D"/>
    <w:rsid w:val="00F27AC7"/>
    <w:rsid w:val="00F27AFF"/>
    <w:rsid w:val="00F30A1C"/>
    <w:rsid w:val="00F35A57"/>
    <w:rsid w:val="00F3760D"/>
    <w:rsid w:val="00F44364"/>
    <w:rsid w:val="00F44CBD"/>
    <w:rsid w:val="00F4653B"/>
    <w:rsid w:val="00F467C9"/>
    <w:rsid w:val="00F53D2C"/>
    <w:rsid w:val="00F54D9F"/>
    <w:rsid w:val="00F57559"/>
    <w:rsid w:val="00F57CC2"/>
    <w:rsid w:val="00F60575"/>
    <w:rsid w:val="00F60E23"/>
    <w:rsid w:val="00F62A15"/>
    <w:rsid w:val="00F63962"/>
    <w:rsid w:val="00F67261"/>
    <w:rsid w:val="00F752DB"/>
    <w:rsid w:val="00F84605"/>
    <w:rsid w:val="00F909DE"/>
    <w:rsid w:val="00F9401B"/>
    <w:rsid w:val="00F94D72"/>
    <w:rsid w:val="00F95369"/>
    <w:rsid w:val="00F95DD7"/>
    <w:rsid w:val="00FA0048"/>
    <w:rsid w:val="00FB4841"/>
    <w:rsid w:val="00FD4B7A"/>
    <w:rsid w:val="00FD5C8E"/>
    <w:rsid w:val="00FD7D6B"/>
    <w:rsid w:val="00FE20F1"/>
    <w:rsid w:val="00FE3A01"/>
    <w:rsid w:val="00FE4323"/>
    <w:rsid w:val="00FE4DCA"/>
    <w:rsid w:val="00FF0C40"/>
    <w:rsid w:val="00FF2667"/>
    <w:rsid w:val="00FF41F0"/>
    <w:rsid w:val="00FF5986"/>
    <w:rsid w:val="00FF5BE3"/>
    <w:rsid w:val="00FF6BB6"/>
    <w:rsid w:val="00FF6FA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FF4"/>
    <w:pPr>
      <w:spacing w:after="200" w:line="276" w:lineRule="auto"/>
    </w:pPr>
    <w:rPr>
      <w:rFonts w:ascii="Segoe UI Black" w:hAnsi="Segoe UI Black" w:cs="Arial"/>
      <w:spacing w:val="-6"/>
      <w:szCs w:val="22"/>
      <w:lang w:eastAsia="en-US"/>
    </w:rPr>
  </w:style>
  <w:style w:type="paragraph" w:styleId="Heading1">
    <w:name w:val="heading 1"/>
    <w:basedOn w:val="Normal"/>
    <w:next w:val="Normal"/>
    <w:link w:val="Heading1Char1"/>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Cs w:val="20"/>
      <w:lang w:eastAsia="ja-JP"/>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 Char,Char"/>
    <w:basedOn w:val="Normal"/>
    <w:link w:val="FootnoteTextChar4"/>
    <w:uiPriority w:val="99"/>
    <w:semiHidden/>
    <w:rsid w:val="009D5521"/>
    <w:rPr>
      <w:szCs w:val="20"/>
    </w:rPr>
  </w:style>
  <w:style w:type="character" w:customStyle="1" w:styleId="FootnoteTextChar4">
    <w:name w:val="Footnote Text Char4"/>
    <w:aliases w:val="Footnote Text Char Char Char Char1,Footnote Text Char Char Char Char Char Char Char,Footnote Text Char Char Char Char Char, Char Char,Char Char3"/>
    <w:link w:val="FootnoteText"/>
    <w:semiHidden/>
    <w:locked/>
    <w:rsid w:val="009D5521"/>
    <w:rPr>
      <w:rFonts w:ascii="Calibri" w:hAnsi="Calibri" w:cs="Arial"/>
      <w:lang w:val="id-ID" w:eastAsia="en-US" w:bidi="ar-SA"/>
    </w:rPr>
  </w:style>
  <w:style w:type="character" w:styleId="FootnoteReference">
    <w:name w:val="footnote reference"/>
    <w:semiHidden/>
    <w:rsid w:val="009D5521"/>
    <w:rPr>
      <w:vertAlign w:val="superscript"/>
    </w:rPr>
  </w:style>
  <w:style w:type="paragraph" w:styleId="Header">
    <w:name w:val="header"/>
    <w:aliases w:val="HEADER kiri"/>
    <w:basedOn w:val="Normal"/>
    <w:link w:val="HeaderChar"/>
    <w:rsid w:val="005C7FF4"/>
    <w:pPr>
      <w:tabs>
        <w:tab w:val="center" w:pos="4153"/>
        <w:tab w:val="right" w:pos="8306"/>
      </w:tabs>
    </w:pPr>
    <w:rPr>
      <w:rFonts w:ascii="Segoe UI Emoji" w:hAnsi="Segoe UI Emoji" w:cs="Angsana New"/>
      <w:i/>
      <w:spacing w:val="-2"/>
      <w:sz w:val="18"/>
      <w:szCs w:val="25"/>
    </w:rPr>
  </w:style>
  <w:style w:type="character" w:customStyle="1" w:styleId="HeaderChar">
    <w:name w:val="Header Char"/>
    <w:aliases w:val="HEADER kiri Char"/>
    <w:link w:val="Header"/>
    <w:locked/>
    <w:rsid w:val="005C7FF4"/>
    <w:rPr>
      <w:rFonts w:ascii="Segoe UI Emoji" w:hAnsi="Segoe UI Emoji" w:cs="Angsana New"/>
      <w:i/>
      <w:spacing w:val="-2"/>
      <w:sz w:val="18"/>
      <w:szCs w:val="25"/>
      <w:lang w:eastAsia="en-US"/>
    </w:rPr>
  </w:style>
  <w:style w:type="paragraph" w:customStyle="1" w:styleId="FOOTER-edisi">
    <w:name w:val="FOOTER-edisi"/>
    <w:basedOn w:val="Footer"/>
    <w:rsid w:val="009D5521"/>
    <w:pPr>
      <w:spacing w:after="0" w:line="240" w:lineRule="auto"/>
    </w:pPr>
    <w:rPr>
      <w:rFonts w:ascii="Cambria" w:hAnsi="Cambria" w:cs="Arabic Typesetting"/>
      <w:spacing w:val="-10"/>
      <w:sz w:val="21"/>
    </w:rPr>
  </w:style>
  <w:style w:type="paragraph" w:styleId="Footer">
    <w:name w:val="footer"/>
    <w:basedOn w:val="Normal"/>
    <w:link w:val="FooterChar10"/>
    <w:uiPriority w:val="99"/>
    <w:rsid w:val="005C7FF4"/>
    <w:pPr>
      <w:tabs>
        <w:tab w:val="center" w:pos="4320"/>
        <w:tab w:val="right" w:pos="8640"/>
      </w:tabs>
    </w:pPr>
    <w:rPr>
      <w:rFonts w:ascii="Segoe UI" w:hAnsi="Segoe UI"/>
      <w:color w:val="C00000"/>
      <w:sz w:val="18"/>
    </w:rPr>
  </w:style>
  <w:style w:type="character" w:customStyle="1" w:styleId="FooterChar10">
    <w:name w:val="Footer Char10"/>
    <w:link w:val="Footer"/>
    <w:uiPriority w:val="99"/>
    <w:locked/>
    <w:rsid w:val="005C7FF4"/>
    <w:rPr>
      <w:rFonts w:ascii="Segoe UI" w:hAnsi="Segoe UI" w:cs="Arial"/>
      <w:color w:val="C00000"/>
      <w:spacing w:val="-6"/>
      <w:sz w:val="18"/>
      <w:szCs w:val="22"/>
      <w:lang w:eastAsia="en-US"/>
    </w:rPr>
  </w:style>
  <w:style w:type="paragraph" w:customStyle="1" w:styleId="ISI">
    <w:name w:val="ISI"/>
    <w:basedOn w:val="Normal"/>
    <w:link w:val="ISIChar"/>
    <w:rsid w:val="004036D7"/>
    <w:pPr>
      <w:spacing w:after="80" w:line="300" w:lineRule="exact"/>
      <w:ind w:firstLine="340"/>
      <w:jc w:val="both"/>
    </w:pPr>
    <w:rPr>
      <w:rFonts w:ascii="Segoe UI" w:hAnsi="Segoe UI" w:cs="Cambria"/>
      <w:sz w:val="21"/>
    </w:rPr>
  </w:style>
  <w:style w:type="character" w:customStyle="1" w:styleId="ISIChar">
    <w:name w:val="ISI Char"/>
    <w:link w:val="ISI"/>
    <w:rsid w:val="004036D7"/>
    <w:rPr>
      <w:rFonts w:ascii="Segoe UI" w:hAnsi="Segoe UI" w:cs="Cambria"/>
      <w:spacing w:val="-6"/>
      <w:sz w:val="21"/>
      <w:szCs w:val="22"/>
      <w:lang w:eastAsia="en-US"/>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paragraph" w:customStyle="1" w:styleId="StyleIABSSSLatinBoldGray-80">
    <w:name w:val="Style I_ABSSS + (Latin) Bold Gray-80%"/>
    <w:basedOn w:val="IABSSS"/>
    <w:rsid w:val="00292824"/>
    <w:rPr>
      <w:rFonts w:ascii="Segoe UI Black" w:hAnsi="Segoe UI Black"/>
      <w:b/>
      <w:color w:val="333333"/>
      <w:sz w:val="20"/>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867514"/>
    <w:pPr>
      <w:spacing w:before="180" w:after="80" w:line="300" w:lineRule="exact"/>
      <w:ind w:left="340" w:hanging="340"/>
      <w:outlineLvl w:val="2"/>
    </w:pPr>
    <w:rPr>
      <w:rFonts w:ascii="Segoe UI" w:hAnsi="Segoe UI"/>
      <w:b/>
      <w:bCs/>
      <w:spacing w:val="-4"/>
      <w:sz w:val="24"/>
      <w:szCs w:val="26"/>
    </w:rPr>
  </w:style>
  <w:style w:type="character" w:customStyle="1" w:styleId="I-POINTCharChar">
    <w:name w:val="I-POINT Char Char"/>
    <w:link w:val="I-POINT"/>
    <w:rsid w:val="00867514"/>
    <w:rPr>
      <w:rFonts w:ascii="Segoe UI" w:hAnsi="Segoe UI" w:cs="Arial"/>
      <w:b/>
      <w:bCs/>
      <w:spacing w:val="-4"/>
      <w:sz w:val="24"/>
      <w:szCs w:val="26"/>
      <w:lang w:eastAsia="en-US"/>
    </w:rPr>
  </w:style>
  <w:style w:type="character" w:styleId="PageNumber">
    <w:name w:val="page number"/>
    <w:basedOn w:val="DefaultParagraphFont"/>
    <w:semiHidden/>
    <w:rsid w:val="009D5521"/>
  </w:style>
  <w:style w:type="paragraph" w:styleId="ListParagraph">
    <w:name w:val="List Paragraph"/>
    <w:aliases w:val="spasi 2 taiiii"/>
    <w:basedOn w:val="Normal"/>
    <w:link w:val="ListParagraphChar"/>
    <w:uiPriority w:val="34"/>
    <w:qFormat/>
    <w:rsid w:val="009D5521"/>
    <w:pPr>
      <w:spacing w:before="100" w:beforeAutospacing="1" w:after="100" w:afterAutospacing="1"/>
      <w:ind w:left="720"/>
    </w:pPr>
    <w:rPr>
      <w:szCs w:val="20"/>
    </w:rPr>
  </w:style>
  <w:style w:type="paragraph" w:styleId="EndnoteText">
    <w:name w:val="endnote text"/>
    <w:basedOn w:val="Normal"/>
    <w:link w:val="EndnoteTextChar"/>
    <w:semiHidden/>
    <w:rsid w:val="009D5521"/>
    <w:pPr>
      <w:spacing w:beforeAutospacing="1" w:afterAutospacing="1"/>
    </w:pPr>
    <w:rPr>
      <w:szCs w:val="20"/>
    </w:rPr>
  </w:style>
  <w:style w:type="character" w:customStyle="1" w:styleId="EndnoteTextChar">
    <w:name w:val="Endnote Text Char"/>
    <w:link w:val="EndnoteText"/>
    <w:locked/>
    <w:rsid w:val="009D5521"/>
    <w:rPr>
      <w:rFonts w:ascii="Calibri" w:hAnsi="Calibri" w:cs="Arial"/>
      <w:lang w:val="id-ID" w:eastAsia="en-US" w:bidi="ar-SA"/>
    </w:rPr>
  </w:style>
  <w:style w:type="paragraph" w:customStyle="1" w:styleId="Iabs">
    <w:name w:val="I_abs"/>
    <w:basedOn w:val="Normal"/>
    <w:link w:val="IabsChar"/>
    <w:rsid w:val="004C1E7B"/>
    <w:pPr>
      <w:spacing w:before="120" w:after="120"/>
      <w:ind w:left="567" w:right="567"/>
    </w:pPr>
    <w:rPr>
      <w:b/>
    </w:rPr>
  </w:style>
  <w:style w:type="character" w:customStyle="1" w:styleId="IabsChar">
    <w:name w:val="I_abs Char"/>
    <w:link w:val="Iabs"/>
    <w:rsid w:val="004C1E7B"/>
    <w:rPr>
      <w:rFonts w:ascii="Calibri" w:hAnsi="Calibri" w:cs="Arial"/>
      <w:b/>
      <w:sz w:val="22"/>
      <w:szCs w:val="22"/>
      <w:lang w:val="id-ID" w:eastAsia="en-US" w:bidi="ar-SA"/>
    </w:rPr>
  </w:style>
  <w:style w:type="paragraph" w:customStyle="1" w:styleId="IPenket">
    <w:name w:val="I_Pen_ket"/>
    <w:basedOn w:val="Normal"/>
    <w:link w:val="IPenketChar"/>
    <w:rsid w:val="00867514"/>
    <w:pPr>
      <w:spacing w:before="60" w:after="360" w:line="240" w:lineRule="exact"/>
      <w:jc w:val="center"/>
    </w:pPr>
    <w:rPr>
      <w:rFonts w:ascii="Segoe UI" w:hAnsi="Segoe UI"/>
      <w:spacing w:val="-8"/>
    </w:rPr>
  </w:style>
  <w:style w:type="character" w:customStyle="1" w:styleId="IPenketChar">
    <w:name w:val="I_Pen_ket Char"/>
    <w:link w:val="IPenket"/>
    <w:rsid w:val="00867514"/>
    <w:rPr>
      <w:rFonts w:ascii="Segoe UI" w:hAnsi="Segoe UI" w:cs="Arial"/>
      <w:spacing w:val="-8"/>
      <w:szCs w:val="22"/>
      <w:lang w:eastAsia="en-US"/>
    </w:rPr>
  </w:style>
  <w:style w:type="paragraph" w:customStyle="1" w:styleId="Ipoint-1">
    <w:name w:val="I_point-1"/>
    <w:basedOn w:val="Normal"/>
    <w:link w:val="Ipoint-1CharChar"/>
    <w:rsid w:val="000D48AA"/>
    <w:pPr>
      <w:spacing w:before="180" w:after="120" w:line="300" w:lineRule="exact"/>
      <w:ind w:left="340"/>
      <w:outlineLvl w:val="3"/>
    </w:pPr>
    <w:rPr>
      <w:rFonts w:ascii="Cambria" w:hAnsi="Cambria"/>
      <w:b/>
      <w:bCs/>
      <w:spacing w:val="-12"/>
    </w:rPr>
  </w:style>
  <w:style w:type="character" w:customStyle="1" w:styleId="Ipoint-1CharChar">
    <w:name w:val="I_point-1 Char Char"/>
    <w:link w:val="Ipoint-1"/>
    <w:rsid w:val="000D48AA"/>
    <w:rPr>
      <w:rFonts w:ascii="Cambria" w:hAnsi="Cambria" w:cs="Arial"/>
      <w:b/>
      <w:bCs/>
      <w:spacing w:val="-12"/>
      <w:sz w:val="22"/>
      <w:szCs w:val="22"/>
      <w:lang w:val="id-ID" w:eastAsia="en-US"/>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TOPKey">
    <w:name w:val="I_TOP_Key"/>
    <w:basedOn w:val="IAKEY"/>
    <w:rsid w:val="00DB1AD2"/>
    <w:rPr>
      <w:rFonts w:ascii="Calibri" w:hAnsi="Calibri"/>
      <w:sz w:val="20"/>
    </w:rPr>
  </w:style>
  <w:style w:type="paragraph" w:customStyle="1" w:styleId="IKeyWords">
    <w:name w:val="I_KeyWords"/>
    <w:basedOn w:val="IAKEY"/>
    <w:link w:val="IKeyWordsChar"/>
    <w:rsid w:val="00DB1AD2"/>
    <w:rPr>
      <w:b w:val="0"/>
      <w:sz w:val="16"/>
      <w:szCs w:val="16"/>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Segoe UI" w:hAnsi="Segoe UI" w:cs="Cambria"/>
      <w:spacing w:val="-6"/>
      <w:sz w:val="21"/>
      <w:szCs w:val="22"/>
      <w:lang w:eastAsia="en-US"/>
    </w:rPr>
  </w:style>
  <w:style w:type="paragraph" w:styleId="BodyText">
    <w:name w:val="Body Text"/>
    <w:basedOn w:val="Normal"/>
    <w:link w:val="BodyTextChar"/>
    <w:semiHidden/>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BD10F1"/>
    <w:pPr>
      <w:outlineLvl w:val="4"/>
    </w:pPr>
    <w:rPr>
      <w:rFonts w:ascii="Calibri" w:hAnsi="Calibri"/>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qFormat/>
    <w:rsid w:val="009D5521"/>
    <w:rPr>
      <w:i/>
      <w:iCs/>
    </w:rPr>
  </w:style>
  <w:style w:type="paragraph" w:customStyle="1" w:styleId="IPENULIS">
    <w:name w:val="I_PENULIS"/>
    <w:basedOn w:val="Iabs"/>
    <w:link w:val="IPENULISChar"/>
    <w:rsid w:val="005C7FF4"/>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5C7FF4"/>
    <w:rPr>
      <w:rFonts w:ascii="Century Gothic" w:hAnsi="Century Gothic" w:cs="Arial"/>
      <w:bCs/>
      <w:color w:val="7E0000"/>
      <w:spacing w:val="-6"/>
      <w:sz w:val="24"/>
      <w:szCs w:val="22"/>
      <w:lang w:eastAsia="en-US"/>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
    <w:name w:val="Balloon Text Char"/>
    <w:link w:val="BalloonText"/>
    <w:locked/>
    <w:rsid w:val="009D5521"/>
    <w:rPr>
      <w:rFonts w:ascii="Tahoma" w:hAnsi="Tahoma"/>
      <w:noProof/>
      <w:sz w:val="16"/>
      <w:szCs w:val="16"/>
      <w:lang w:val="id-ID" w:bidi="ar-SA"/>
    </w:rPr>
  </w:style>
  <w:style w:type="paragraph" w:styleId="BalloonText">
    <w:name w:val="Balloon Text"/>
    <w:basedOn w:val="Normal"/>
    <w:link w:val="BalloonTextChar"/>
    <w:rsid w:val="009D5521"/>
    <w:rPr>
      <w:rFonts w:ascii="Tahoma" w:hAnsi="Tahoma" w:cs="Times New Roman"/>
      <w:noProof/>
      <w:sz w:val="16"/>
      <w:szCs w:val="16"/>
      <w:lang w:eastAsia="ja-JP"/>
    </w:rPr>
  </w:style>
  <w:style w:type="paragraph" w:customStyle="1" w:styleId="FootnoteText1">
    <w:name w:val="Footnote Text1"/>
    <w:basedOn w:val="Normal"/>
    <w:semiHidden/>
    <w:rsid w:val="009D5521"/>
    <w:pPr>
      <w:widowControl w:val="0"/>
      <w:suppressAutoHyphens/>
    </w:pPr>
    <w:rPr>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lang w:val="en-US" w:eastAsia="en-US"/>
    </w:rPr>
  </w:style>
  <w:style w:type="paragraph" w:styleId="DocumentMap">
    <w:name w:val="Document Map"/>
    <w:basedOn w:val="Normal"/>
    <w:link w:val="DocumentMapChar"/>
    <w:semiHidden/>
    <w:rsid w:val="009D5521"/>
    <w:pPr>
      <w:shd w:val="clear" w:color="auto" w:fill="000080"/>
    </w:pPr>
    <w:rPr>
      <w:rFonts w:ascii="Tahoma" w:hAnsi="Tahoma" w:cs="Tahoma"/>
      <w:szCs w:val="20"/>
    </w:rPr>
  </w:style>
  <w:style w:type="character" w:customStyle="1" w:styleId="DocumentMapChar">
    <w:name w:val="Document Map Char"/>
    <w:link w:val="DocumentMap"/>
    <w:semiHidden/>
    <w:locked/>
    <w:rsid w:val="002107F6"/>
    <w:rPr>
      <w:rFonts w:ascii="Tahoma" w:hAnsi="Tahoma" w:cs="Tahoma"/>
      <w:lang w:val="id-ID" w:eastAsia="en-US" w:bidi="ar-SA"/>
    </w:rPr>
  </w:style>
  <w:style w:type="paragraph" w:customStyle="1" w:styleId="KATABEL">
    <w:name w:val="KA_TABEL"/>
    <w:basedOn w:val="Normal"/>
    <w:rsid w:val="009D5521"/>
    <w:pPr>
      <w:spacing w:before="240" w:after="120"/>
      <w:jc w:val="center"/>
      <w:outlineLvl w:val="2"/>
    </w:pPr>
    <w:rPr>
      <w:rFonts w:eastAsia="Calibri"/>
      <w:b/>
      <w:bCs/>
    </w:rPr>
  </w:style>
  <w:style w:type="paragraph" w:styleId="NoSpacing">
    <w:name w:val="No Spacing"/>
    <w:qFormat/>
    <w:rsid w:val="009D5521"/>
    <w:rPr>
      <w:rFonts w:ascii="Calibri" w:hAnsi="Calibri" w:cs="Arial"/>
      <w:sz w:val="22"/>
      <w:szCs w:val="22"/>
      <w:lang w:val="en-US" w:eastAsia="en-US"/>
    </w:rPr>
  </w:style>
  <w:style w:type="paragraph" w:customStyle="1" w:styleId="IABSSS">
    <w:name w:val="I_ABSSS"/>
    <w:basedOn w:val="Normal"/>
    <w:link w:val="IABSSSChar"/>
    <w:rsid w:val="00B2686E"/>
    <w:pPr>
      <w:spacing w:before="120" w:after="0" w:line="200" w:lineRule="exact"/>
      <w:ind w:left="1134" w:right="1134"/>
      <w:jc w:val="both"/>
    </w:pPr>
    <w:rPr>
      <w:rFonts w:ascii="Garamond" w:hAnsi="Garamond" w:cs="Calibri"/>
      <w:spacing w:val="-10"/>
      <w:sz w:val="21"/>
      <w:szCs w:val="20"/>
      <w:lang w:val="nl-NL"/>
    </w:rPr>
  </w:style>
  <w:style w:type="character" w:customStyle="1" w:styleId="IABSSSChar">
    <w:name w:val="I_ABSSS Char"/>
    <w:link w:val="IABSSS"/>
    <w:rsid w:val="00B2686E"/>
    <w:rPr>
      <w:rFonts w:ascii="Garamond" w:hAnsi="Garamond" w:cs="Calibri"/>
      <w:spacing w:val="-10"/>
      <w:sz w:val="21"/>
      <w:lang w:val="nl-NL" w:eastAsia="en-US"/>
    </w:rPr>
  </w:style>
  <w:style w:type="paragraph" w:customStyle="1" w:styleId="IAKEY">
    <w:name w:val="I_AKEY"/>
    <w:basedOn w:val="IABSSS"/>
    <w:link w:val="IAKEYChar"/>
    <w:rsid w:val="0070534E"/>
    <w:pPr>
      <w:spacing w:before="360" w:after="120"/>
      <w:ind w:left="2155" w:hanging="1021"/>
      <w:jc w:val="left"/>
    </w:pPr>
    <w:rPr>
      <w:rFonts w:eastAsia="Batang"/>
      <w:b/>
    </w:rPr>
  </w:style>
  <w:style w:type="character" w:customStyle="1" w:styleId="IAKEYChar">
    <w:name w:val="I_AKEY Char"/>
    <w:link w:val="IAKEY"/>
    <w:rsid w:val="0070534E"/>
    <w:rPr>
      <w:rFonts w:ascii="Cambria" w:eastAsia="Batang" w:hAnsi="Cambria" w:cs="Calibri"/>
      <w:b/>
      <w:spacing w:val="-10"/>
      <w:sz w:val="18"/>
      <w:lang w:val="nl-NL" w:eastAsia="en-US"/>
    </w:rPr>
  </w:style>
  <w:style w:type="paragraph" w:customStyle="1" w:styleId="IDAP">
    <w:name w:val="I_DAP"/>
    <w:basedOn w:val="Normal"/>
    <w:link w:val="IDAPChar"/>
    <w:rsid w:val="00787201"/>
    <w:pPr>
      <w:spacing w:before="240" w:after="240" w:line="320" w:lineRule="exact"/>
      <w:ind w:right="1134"/>
      <w:jc w:val="center"/>
      <w:outlineLvl w:val="0"/>
    </w:pPr>
    <w:rPr>
      <w:rFonts w:ascii="Cambria" w:hAnsi="Cambria"/>
      <w:b/>
      <w:bCs/>
      <w:spacing w:val="-8"/>
      <w:sz w:val="24"/>
    </w:rPr>
  </w:style>
  <w:style w:type="character" w:customStyle="1" w:styleId="IDAPChar">
    <w:name w:val="I_DAP Char"/>
    <w:link w:val="IDAP"/>
    <w:rsid w:val="005516D4"/>
    <w:rPr>
      <w:rFonts w:ascii="Cambria" w:hAnsi="Cambria" w:cs="Arial"/>
      <w:b/>
      <w:bCs/>
      <w:spacing w:val="-8"/>
      <w:sz w:val="24"/>
      <w:szCs w:val="22"/>
      <w:lang w:val="id-ID" w:eastAsia="en-US" w:bidi="ar-SA"/>
    </w:rPr>
  </w:style>
  <w:style w:type="paragraph" w:customStyle="1" w:styleId="Default">
    <w:name w:val="Default"/>
    <w:semiHidden/>
    <w:rsid w:val="009D5521"/>
    <w:pPr>
      <w:autoSpaceDE w:val="0"/>
      <w:autoSpaceDN w:val="0"/>
      <w:adjustRightInd w:val="0"/>
    </w:pPr>
    <w:rPr>
      <w:rFonts w:ascii="Garamond" w:eastAsia="Calibri" w:hAnsi="Garamond" w:cs="Garamond"/>
      <w:color w:val="000000"/>
      <w:sz w:val="24"/>
      <w:szCs w:val="24"/>
      <w:lang w:eastAsia="id-ID"/>
    </w:rPr>
  </w:style>
  <w:style w:type="paragraph" w:customStyle="1" w:styleId="IKAtabel">
    <w:name w:val="I_KA tabel"/>
    <w:basedOn w:val="Ipoint-1"/>
    <w:rsid w:val="00C46FD2"/>
    <w:pPr>
      <w:spacing w:after="240" w:line="280" w:lineRule="exact"/>
      <w:ind w:left="0"/>
    </w:pPr>
    <w:rPr>
      <w:rFonts w:ascii="Segoe UI Emoji" w:hAnsi="Segoe UI Emoji"/>
      <w:b w:val="0"/>
      <w:sz w:val="18"/>
      <w:lang w:val="nb-NO"/>
    </w:rPr>
  </w:style>
  <w:style w:type="paragraph" w:customStyle="1" w:styleId="ISI-point">
    <w:name w:val="ISI-point"/>
    <w:basedOn w:val="Normal"/>
    <w:link w:val="ISI-pointChar"/>
    <w:rsid w:val="00AC7A63"/>
    <w:pPr>
      <w:spacing w:after="120" w:line="30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AC7A63"/>
    <w:rPr>
      <w:rFonts w:ascii="Cambria" w:eastAsia="Calibri" w:hAnsi="Cambria" w:cs="Arial"/>
      <w:spacing w:val="-8"/>
      <w:sz w:val="22"/>
      <w:szCs w:val="26"/>
      <w:lang w:val="en-GB" w:eastAsia="en-US"/>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lang w:val="en-US" w:eastAsia="en-US"/>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lang w:val="en-US" w:eastAsia="en-US"/>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lang w:val="en-US" w:eastAsia="en-US"/>
    </w:rPr>
  </w:style>
  <w:style w:type="paragraph" w:customStyle="1" w:styleId="kutipan0">
    <w:name w:val="kutipan"/>
    <w:semiHidde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lang w:val="en-US" w:eastAsia="en-US"/>
    </w:rPr>
  </w:style>
  <w:style w:type="paragraph" w:customStyle="1" w:styleId="isi0">
    <w:name w:val="isi"/>
    <w:semiHidden/>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lang w:val="en-US" w:eastAsia="en-US"/>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lang w:val="en-US" w:eastAsia="en-US"/>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lang w:val="en-US" w:eastAsia="en-US"/>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0D48AA"/>
    <w:rPr>
      <w:rFonts w:ascii="Calibri" w:hAnsi="Calibri"/>
    </w:rPr>
  </w:style>
  <w:style w:type="paragraph" w:styleId="CommentText">
    <w:name w:val="annotation text"/>
    <w:basedOn w:val="Normal"/>
    <w:link w:val="CommentTextChar"/>
    <w:semiHidden/>
    <w:rsid w:val="009D5521"/>
    <w:rPr>
      <w:szCs w:val="20"/>
    </w:rPr>
  </w:style>
  <w:style w:type="character" w:customStyle="1" w:styleId="CommentTextChar">
    <w:name w:val="Comment Text Char"/>
    <w:link w:val="CommentText"/>
    <w:rsid w:val="009D5521"/>
    <w:rPr>
      <w:rFonts w:ascii="Calibri" w:hAnsi="Calibri" w:cs="Arial"/>
      <w:lang w:val="id-ID" w:eastAsia="en-US" w:bidi="ar-SA"/>
    </w:rPr>
  </w:style>
  <w:style w:type="paragraph" w:styleId="CommentSubject">
    <w:name w:val="annotation subject"/>
    <w:basedOn w:val="CommentText"/>
    <w:next w:val="CommentText"/>
    <w:link w:val="CommentSubjectChar"/>
    <w:semiHidden/>
    <w:rsid w:val="009D5521"/>
    <w:rPr>
      <w:b/>
      <w:bCs/>
    </w:rPr>
  </w:style>
  <w:style w:type="character" w:customStyle="1" w:styleId="CommentSubjectChar">
    <w:name w:val="Comment Subject Char"/>
    <w:link w:val="CommentSubjec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line="220" w:lineRule="exact"/>
    </w:pPr>
  </w:style>
  <w:style w:type="paragraph" w:customStyle="1" w:styleId="Ika-GAMBAR">
    <w:name w:val="I_ka-GAMBAR"/>
    <w:basedOn w:val="IKAtabel"/>
    <w:rsid w:val="001F26B0"/>
    <w:pPr>
      <w:spacing w:before="120" w:line="220" w:lineRule="exact"/>
      <w:jc w:val="center"/>
    </w:pPr>
    <w:rPr>
      <w:sz w:val="20"/>
    </w:rPr>
  </w:style>
  <w:style w:type="paragraph" w:customStyle="1" w:styleId="HEADER-JUDUL">
    <w:name w:val="HEADER-JUDUL"/>
    <w:basedOn w:val="Normal"/>
    <w:semiHidden/>
    <w:rsid w:val="009D5521"/>
    <w:pPr>
      <w:tabs>
        <w:tab w:val="center" w:pos="4320"/>
        <w:tab w:val="right" w:pos="8640"/>
      </w:tabs>
      <w:spacing w:after="0" w:line="240" w:lineRule="auto"/>
      <w:jc w:val="right"/>
    </w:pPr>
    <w:rPr>
      <w:rFonts w:ascii="Cambria" w:hAnsi="Cambria"/>
      <w:spacing w:val="-8"/>
      <w:sz w:val="18"/>
      <w:szCs w:val="18"/>
      <w:lang w:val="en-US"/>
    </w:rPr>
  </w:style>
  <w:style w:type="paragraph" w:customStyle="1" w:styleId="IPOINTMASUK">
    <w:name w:val="I_POINT_MASUK&gt;"/>
    <w:basedOn w:val="Normal"/>
    <w:link w:val="IPOINTMASUKChar"/>
    <w:rsid w:val="00D420C2"/>
    <w:pPr>
      <w:spacing w:after="40" w:line="280" w:lineRule="exact"/>
      <w:ind w:left="680" w:hanging="340"/>
      <w:jc w:val="both"/>
    </w:pPr>
    <w:rPr>
      <w:rFonts w:ascii="Cambria" w:hAnsi="Cambria" w:cs="Times New Roman"/>
      <w:spacing w:val="-10"/>
      <w:szCs w:val="24"/>
      <w:lang w:eastAsia="en-GB"/>
    </w:rPr>
  </w:style>
  <w:style w:type="character" w:customStyle="1" w:styleId="IPOINTMASUKChar">
    <w:name w:val="I_POINT_MASUK&gt; Char"/>
    <w:link w:val="IPOINTMASUK"/>
    <w:rsid w:val="00D420C2"/>
    <w:rPr>
      <w:rFonts w:ascii="Cambria" w:hAnsi="Cambria"/>
      <w:spacing w:val="-10"/>
      <w:sz w:val="22"/>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Cs w:val="20"/>
      <w:lang w:val="en-US"/>
    </w:rPr>
  </w:style>
  <w:style w:type="paragraph" w:customStyle="1" w:styleId="Afiliation">
    <w:name w:val="Afiliation"/>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semiHidden/>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semiHidden/>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aliases w:val="Char Char Char"/>
    <w:basedOn w:val="DefaultParagraphFont"/>
    <w:semiHidden/>
    <w:rsid w:val="009D5521"/>
  </w:style>
  <w:style w:type="character" w:styleId="Hyperlink">
    <w:name w:val="Hyperlink"/>
    <w:semiHidden/>
    <w:rsid w:val="009D5521"/>
    <w:rPr>
      <w:color w:val="0000FF"/>
      <w:u w:val="single"/>
    </w:rPr>
  </w:style>
  <w:style w:type="paragraph" w:styleId="NormalWeb">
    <w:name w:val="Normal (Web)"/>
    <w:basedOn w:val="Normal"/>
    <w:uiPriority w:val="99"/>
    <w:semiHidden/>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semiHidden/>
    <w:rsid w:val="009D5521"/>
    <w:pPr>
      <w:bidi/>
    </w:pPr>
    <w:rPr>
      <w:rFonts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semiHidden/>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tabs>
        <w:tab w:val="num" w:pos="360"/>
      </w:tabs>
      <w:ind w:left="360" w:hanging="360"/>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0D2D60"/>
    <w:pPr>
      <w:tabs>
        <w:tab w:val="right" w:pos="3031"/>
      </w:tabs>
      <w:spacing w:after="0"/>
      <w:ind w:left="220" w:hanging="220"/>
    </w:pPr>
    <w:rPr>
      <w:rFonts w:ascii="Cambria" w:hAnsi="Cambria" w:cs="Times New Roman"/>
      <w:bCs/>
      <w:noProof/>
      <w:spacing w:val="-8"/>
      <w:sz w:val="18"/>
      <w:szCs w:val="21"/>
    </w:rPr>
  </w:style>
  <w:style w:type="paragraph" w:styleId="Index2">
    <w:name w:val="index 2"/>
    <w:basedOn w:val="Normal"/>
    <w:next w:val="Normal"/>
    <w:autoRedefine/>
    <w:semiHidden/>
    <w:rsid w:val="000D2D60"/>
    <w:pPr>
      <w:spacing w:after="0"/>
      <w:ind w:left="440" w:hanging="220"/>
    </w:pPr>
    <w:rPr>
      <w:rFonts w:ascii="Cambria" w:hAnsi="Cambria" w:cs="Times New Roman"/>
      <w:spacing w:val="-8"/>
      <w:sz w:val="18"/>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757138"/>
    <w:pPr>
      <w:spacing w:before="240" w:after="120"/>
      <w:ind w:left="140"/>
    </w:pPr>
    <w:rPr>
      <w:rFonts w:ascii="Arial" w:hAnsi="Arial"/>
      <w:b/>
      <w:bCs/>
      <w:sz w:val="28"/>
      <w:szCs w:val="33"/>
    </w:rPr>
  </w:style>
  <w:style w:type="paragraph" w:customStyle="1" w:styleId="HEADERPenulis">
    <w:name w:val="HEADER_Penulis"/>
    <w:basedOn w:val="Normal"/>
    <w:semiHidden/>
    <w:rsid w:val="009D5521"/>
    <w:pPr>
      <w:tabs>
        <w:tab w:val="center" w:pos="4320"/>
        <w:tab w:val="right" w:pos="8640"/>
      </w:tabs>
      <w:spacing w:after="0" w:line="240" w:lineRule="auto"/>
    </w:pPr>
    <w:rPr>
      <w:rFonts w:ascii="Cambria" w:hAnsi="Cambria"/>
      <w:spacing w:val="-8"/>
      <w:sz w:val="18"/>
      <w:szCs w:val="18"/>
      <w:lang w:val="en-US"/>
    </w:rPr>
  </w:style>
  <w:style w:type="paragraph" w:customStyle="1" w:styleId="IHIPOTESIS">
    <w:name w:val="I_HIPOTESIS"/>
    <w:basedOn w:val="ISI-point"/>
    <w:qFormat/>
    <w:rsid w:val="005C7FF4"/>
    <w:pPr>
      <w:spacing w:after="80"/>
      <w:ind w:left="794" w:hanging="454"/>
      <w:jc w:val="left"/>
    </w:pPr>
    <w:rPr>
      <w:rFonts w:ascii="Segoe UI" w:hAnsi="Segoe UI"/>
      <w:i/>
      <w:sz w:val="21"/>
    </w:rPr>
  </w:style>
  <w:style w:type="paragraph" w:customStyle="1" w:styleId="ARAB-footnote">
    <w:name w:val="ARAB-footnote"/>
    <w:basedOn w:val="I-KUTIPpasal"/>
    <w:rsid w:val="009D5521"/>
    <w:pPr>
      <w:bidi/>
      <w:spacing w:line="240" w:lineRule="auto"/>
      <w:ind w:left="0" w:right="340" w:firstLine="0"/>
    </w:pPr>
    <w:rPr>
      <w:rFonts w:cs="KFGQPC Uthman Taha Naskh"/>
      <w:i/>
      <w:iCs w:val="0"/>
      <w:sz w:val="24"/>
      <w:szCs w:val="24"/>
    </w:rPr>
  </w:style>
  <w:style w:type="paragraph" w:customStyle="1" w:styleId="IIn-1">
    <w:name w:val="IIn-1"/>
    <w:basedOn w:val="Index1"/>
    <w:semiHidden/>
    <w:rsid w:val="009D5521"/>
  </w:style>
  <w:style w:type="paragraph" w:customStyle="1" w:styleId="IIHEAD">
    <w:name w:val="II_HEAD"/>
    <w:basedOn w:val="IndexHeading"/>
    <w:semiHidden/>
    <w:rsid w:val="00C81D5F"/>
    <w:pPr>
      <w:keepNext/>
      <w:tabs>
        <w:tab w:val="right" w:pos="3031"/>
      </w:tabs>
      <w:ind w:left="142"/>
      <w:outlineLvl w:val="1"/>
    </w:pPr>
    <w:rPr>
      <w:rFonts w:ascii="Cambria" w:hAnsi="Cambria"/>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semiHidden/>
    <w:rsid w:val="009D5521"/>
    <w:pPr>
      <w:spacing w:line="320" w:lineRule="exact"/>
    </w:pPr>
  </w:style>
  <w:style w:type="character" w:customStyle="1" w:styleId="reference-text">
    <w:name w:val="reference-text"/>
    <w:basedOn w:val="DefaultParagraphFont"/>
    <w:semiHidden/>
    <w:rsid w:val="009D5521"/>
  </w:style>
  <w:style w:type="paragraph" w:customStyle="1" w:styleId="msolistparagraphcxspmiddle">
    <w:name w:val="msolistparagraphcxspmiddle"/>
    <w:basedOn w:val="Normal"/>
    <w:semiHidden/>
    <w:rsid w:val="009D5521"/>
    <w:pPr>
      <w:spacing w:before="100" w:beforeAutospacing="1" w:after="100" w:afterAutospacing="1" w:line="240" w:lineRule="auto"/>
    </w:pPr>
    <w:rPr>
      <w:rFonts w:cs="Times New Roman"/>
      <w:sz w:val="24"/>
      <w:szCs w:val="24"/>
      <w:lang w:val="en-US"/>
    </w:rPr>
  </w:style>
  <w:style w:type="character" w:customStyle="1" w:styleId="links4">
    <w:name w:val="links4"/>
    <w:basedOn w:val="DefaultParagraphFont"/>
    <w:semiHidden/>
    <w:rsid w:val="009D5521"/>
  </w:style>
  <w:style w:type="character" w:customStyle="1" w:styleId="links2">
    <w:name w:val="links2"/>
    <w:basedOn w:val="DefaultParagraphFont"/>
    <w:semiHidden/>
    <w:rsid w:val="009D5521"/>
  </w:style>
  <w:style w:type="character" w:customStyle="1" w:styleId="Date1">
    <w:name w:val="Date1"/>
    <w:basedOn w:val="DefaultParagraphFont"/>
    <w:semiHidden/>
    <w:rsid w:val="009D5521"/>
  </w:style>
  <w:style w:type="character" w:customStyle="1" w:styleId="FooterChar">
    <w:name w:val="Footer Char"/>
    <w:uiPriority w:val="99"/>
    <w:semiHidden/>
    <w:locked/>
    <w:rsid w:val="00537C58"/>
    <w:rPr>
      <w:sz w:val="22"/>
      <w:lang w:val="x-none" w:eastAsia="en-US"/>
    </w:rPr>
  </w:style>
  <w:style w:type="character" w:customStyle="1" w:styleId="FootnoteTextChar">
    <w:name w:val="Footnote Text Char"/>
    <w:uiPriority w:val="99"/>
    <w:semiHidden/>
    <w:locked/>
    <w:rsid w:val="00537C58"/>
    <w:rPr>
      <w:rFonts w:eastAsia="Times New Roman"/>
      <w:lang w:val="en-US" w:eastAsia="en-US"/>
    </w:rPr>
  </w:style>
  <w:style w:type="character" w:customStyle="1" w:styleId="apple-style-span">
    <w:name w:val="apple-style-span"/>
    <w:semiHidden/>
    <w:rsid w:val="00537C58"/>
    <w:rPr>
      <w:rFonts w:cs="Times New Roman"/>
    </w:rPr>
  </w:style>
  <w:style w:type="character" w:customStyle="1" w:styleId="st">
    <w:name w:val="st"/>
    <w:semiHidden/>
    <w:rsid w:val="00537C58"/>
    <w:rPr>
      <w:rFonts w:cs="Times New Roman"/>
    </w:rPr>
  </w:style>
  <w:style w:type="character" w:customStyle="1" w:styleId="sign2">
    <w:name w:val="sign2"/>
    <w:semiHidden/>
    <w:rsid w:val="00A6584E"/>
    <w:rPr>
      <w:rFonts w:ascii="Times New Roman" w:hAnsi="Times New Roman" w:cs="Times New Roman" w:hint="default"/>
      <w:color w:val="FB7600"/>
      <w:sz w:val="24"/>
      <w:szCs w:val="24"/>
    </w:rPr>
  </w:style>
  <w:style w:type="character" w:customStyle="1" w:styleId="Heading1Char">
    <w:name w:val="Heading 1 Char"/>
    <w:semiHidden/>
    <w:locked/>
    <w:rsid w:val="00F0713C"/>
    <w:rPr>
      <w:rFonts w:ascii="Cambria" w:eastAsia="Times New Roman" w:hAnsi="Cambria" w:cs="Times New Roman"/>
      <w:b/>
      <w:bCs/>
      <w:color w:val="365F91"/>
      <w:sz w:val="28"/>
      <w:szCs w:val="28"/>
    </w:rPr>
  </w:style>
  <w:style w:type="character" w:customStyle="1" w:styleId="cq35rl0">
    <w:name w:val="cq35rl0"/>
    <w:semiHidden/>
    <w:rsid w:val="00F0713C"/>
    <w:rPr>
      <w:rFonts w:cs="Times New Roman"/>
    </w:rPr>
  </w:style>
  <w:style w:type="character" w:customStyle="1" w:styleId="internetlink">
    <w:name w:val="internetlink"/>
    <w:semiHidden/>
    <w:rsid w:val="00F0713C"/>
    <w:rPr>
      <w:rFonts w:cs="Times New Roman"/>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val="x-none"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eastAsia="x-none"/>
    </w:rPr>
  </w:style>
  <w:style w:type="character" w:customStyle="1" w:styleId="FooterChar8">
    <w:name w:val="Footer Char8"/>
    <w:semiHidden/>
    <w:rsid w:val="00F0713C"/>
    <w:rPr>
      <w:rFonts w:eastAsia="Times New Roman" w:cs="Times New Roman"/>
      <w:lang w:val="id-ID" w:eastAsia="x-none"/>
    </w:rPr>
  </w:style>
  <w:style w:type="character" w:customStyle="1" w:styleId="FooterChar9">
    <w:name w:val="Footer Char9"/>
    <w:semiHidden/>
    <w:rsid w:val="00F0713C"/>
    <w:rPr>
      <w:rFonts w:eastAsia="Times New Roman" w:cs="Times New Roman"/>
      <w:lang w:val="id-ID" w:eastAsia="x-none"/>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character" w:customStyle="1" w:styleId="Bodytext0">
    <w:name w:val="Body text_"/>
    <w:link w:val="BodyText20"/>
    <w:rsid w:val="00131B7E"/>
    <w:rPr>
      <w:shd w:val="clear" w:color="auto" w:fill="FFFFFF"/>
      <w:lang w:bidi="ar-SA"/>
    </w:rPr>
  </w:style>
  <w:style w:type="paragraph" w:customStyle="1" w:styleId="BodyText20">
    <w:name w:val="Body Text2"/>
    <w:basedOn w:val="Normal"/>
    <w:link w:val="Bodytext0"/>
    <w:semiHidden/>
    <w:rsid w:val="00131B7E"/>
    <w:pPr>
      <w:shd w:val="clear" w:color="auto" w:fill="FFFFFF"/>
      <w:spacing w:after="0" w:line="518" w:lineRule="exact"/>
      <w:ind w:hanging="380"/>
      <w:jc w:val="both"/>
    </w:pPr>
    <w:rPr>
      <w:rFonts w:ascii="Times New Roman" w:hAnsi="Times New Roman" w:cs="Times New Roman"/>
      <w:szCs w:val="20"/>
      <w:shd w:val="clear" w:color="auto" w:fill="FFFFFF"/>
      <w:lang w:eastAsia="ja-JP"/>
    </w:rPr>
  </w:style>
  <w:style w:type="character" w:customStyle="1" w:styleId="Bodytext3">
    <w:name w:val="Body text (3)_"/>
    <w:link w:val="Bodytext30"/>
    <w:rsid w:val="00131B7E"/>
    <w:rPr>
      <w:sz w:val="22"/>
      <w:szCs w:val="22"/>
      <w:shd w:val="clear" w:color="auto" w:fill="FFFFFF"/>
      <w:lang w:bidi="ar-SA"/>
    </w:rPr>
  </w:style>
  <w:style w:type="paragraph" w:customStyle="1" w:styleId="Bodytext30">
    <w:name w:val="Body text (3)"/>
    <w:basedOn w:val="Normal"/>
    <w:link w:val="Bodytext3"/>
    <w:semiHidden/>
    <w:rsid w:val="00131B7E"/>
    <w:pPr>
      <w:shd w:val="clear" w:color="auto" w:fill="FFFFFF"/>
      <w:spacing w:before="240" w:after="0" w:line="458" w:lineRule="exact"/>
      <w:jc w:val="center"/>
    </w:pPr>
    <w:rPr>
      <w:rFonts w:ascii="Times New Roman" w:hAnsi="Times New Roman" w:cs="Times New Roman"/>
      <w:shd w:val="clear" w:color="auto" w:fill="FFFFFF"/>
      <w:lang w:eastAsia="ja-JP"/>
    </w:rPr>
  </w:style>
  <w:style w:type="character" w:customStyle="1" w:styleId="Bodytext3Italic">
    <w:name w:val="Body text (3) + Italic"/>
    <w:semiHidden/>
    <w:rsid w:val="00131B7E"/>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131B7E"/>
  </w:style>
  <w:style w:type="paragraph" w:customStyle="1" w:styleId="FOOT-NOT">
    <w:name w:val="FOOT-NOT"/>
    <w:basedOn w:val="ISI"/>
    <w:qFormat/>
    <w:rsid w:val="00131B7E"/>
    <w:pPr>
      <w:spacing w:after="40" w:line="220" w:lineRule="exact"/>
      <w:ind w:firstLine="425"/>
    </w:pPr>
    <w:rPr>
      <w:rFonts w:ascii="Times New Arabic" w:hAnsi="Times New Arabic" w:cs="Traditional Arabic"/>
      <w:spacing w:val="-4"/>
      <w:sz w:val="18"/>
      <w:szCs w:val="18"/>
    </w:rPr>
  </w:style>
  <w:style w:type="character" w:customStyle="1" w:styleId="Bodytext2Bold">
    <w:name w:val="Body text (2) + Bold"/>
    <w:aliases w:val="Italic,Body text (3) + 10.5 pt"/>
    <w:semiHidden/>
    <w:rsid w:val="00131B7E"/>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131B7E"/>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131B7E"/>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131B7E"/>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643E1C"/>
  </w:style>
  <w:style w:type="paragraph" w:customStyle="1" w:styleId="Style2">
    <w:name w:val="Style2"/>
    <w:basedOn w:val="ISI"/>
    <w:semiHidden/>
    <w:rsid w:val="00063E39"/>
    <w:rPr>
      <w:lang w:val="en-US"/>
    </w:rPr>
  </w:style>
  <w:style w:type="character" w:customStyle="1" w:styleId="a">
    <w:name w:val="a"/>
    <w:semiHidden/>
    <w:rsid w:val="005443D4"/>
    <w:rPr>
      <w:rFonts w:cs="Times New Roman"/>
    </w:rPr>
  </w:style>
  <w:style w:type="character" w:customStyle="1" w:styleId="publication-meta-journal">
    <w:name w:val="publication-meta-journal"/>
    <w:basedOn w:val="DefaultParagraphFont"/>
    <w:semiHidden/>
    <w:rsid w:val="00AC52D6"/>
  </w:style>
  <w:style w:type="character" w:customStyle="1" w:styleId="size-xl">
    <w:name w:val="size-xl"/>
    <w:basedOn w:val="DefaultParagraphFont"/>
    <w:semiHidden/>
    <w:rsid w:val="00AC52D6"/>
  </w:style>
  <w:style w:type="character" w:customStyle="1" w:styleId="size-m">
    <w:name w:val="size-m"/>
    <w:basedOn w:val="DefaultParagraphFont"/>
    <w:semiHidden/>
    <w:rsid w:val="00AC52D6"/>
  </w:style>
  <w:style w:type="character" w:customStyle="1" w:styleId="smallcaps">
    <w:name w:val="smallcaps"/>
    <w:basedOn w:val="DefaultParagraphFont"/>
    <w:semiHidden/>
    <w:rsid w:val="00AC52D6"/>
  </w:style>
  <w:style w:type="character" w:customStyle="1" w:styleId="publication-meta-date">
    <w:name w:val="publication-meta-date"/>
    <w:basedOn w:val="DefaultParagraphFont"/>
    <w:semiHidden/>
    <w:rsid w:val="00AC52D6"/>
  </w:style>
  <w:style w:type="character" w:customStyle="1" w:styleId="publication-author-position">
    <w:name w:val="publication-author-position"/>
    <w:basedOn w:val="DefaultParagraphFont"/>
    <w:semiHidden/>
    <w:rsid w:val="00AC52D6"/>
  </w:style>
  <w:style w:type="paragraph" w:styleId="HTMLPreformatted">
    <w:name w:val="HTML Preformatted"/>
    <w:basedOn w:val="Normal"/>
    <w:semiHidden/>
    <w:unhideWhenUsed/>
    <w:rsid w:val="00AC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id-ID"/>
    </w:rPr>
  </w:style>
  <w:style w:type="paragraph" w:styleId="Bibliography">
    <w:name w:val="Bibliography"/>
    <w:basedOn w:val="Normal"/>
    <w:next w:val="Normal"/>
    <w:unhideWhenUsed/>
    <w:rsid w:val="00AC52D6"/>
    <w:rPr>
      <w:rFonts w:eastAsia="Calibri"/>
      <w:lang w:val="en-US"/>
    </w:rPr>
  </w:style>
  <w:style w:type="paragraph" w:customStyle="1" w:styleId="IGAMBAR">
    <w:name w:val="I_GAMBAR"/>
    <w:basedOn w:val="Normal"/>
    <w:rsid w:val="00B14EF4"/>
    <w:pPr>
      <w:autoSpaceDE w:val="0"/>
      <w:autoSpaceDN w:val="0"/>
      <w:adjustRightInd w:val="0"/>
      <w:spacing w:before="240" w:after="120" w:line="240" w:lineRule="auto"/>
      <w:jc w:val="center"/>
    </w:pPr>
    <w:rPr>
      <w:rFonts w:cs="Times New Roman"/>
      <w:bCs/>
      <w:spacing w:val="3"/>
      <w:szCs w:val="20"/>
    </w:rPr>
  </w:style>
  <w:style w:type="character" w:customStyle="1" w:styleId="notranslate">
    <w:name w:val="notranslate"/>
    <w:semiHidden/>
    <w:rsid w:val="00C63058"/>
  </w:style>
  <w:style w:type="character" w:customStyle="1" w:styleId="UnresolvedMention1">
    <w:name w:val="Unresolved Mention1"/>
    <w:uiPriority w:val="99"/>
    <w:semiHidden/>
    <w:unhideWhenUsed/>
    <w:rsid w:val="00C63058"/>
    <w:rPr>
      <w:color w:val="605E5C"/>
      <w:shd w:val="clear" w:color="auto" w:fill="E1DFDD"/>
    </w:rPr>
  </w:style>
  <w:style w:type="character" w:styleId="CommentReference">
    <w:name w:val="annotation reference"/>
    <w:unhideWhenUsed/>
    <w:rsid w:val="00C63058"/>
    <w:rPr>
      <w:sz w:val="16"/>
      <w:szCs w:val="16"/>
    </w:rPr>
  </w:style>
  <w:style w:type="paragraph" w:customStyle="1" w:styleId="IJUDULBARU">
    <w:name w:val="I_JUDUL BARU"/>
    <w:basedOn w:val="Normal"/>
    <w:rsid w:val="00292824"/>
    <w:pPr>
      <w:spacing w:before="600" w:after="360" w:line="320" w:lineRule="exact"/>
      <w:ind w:left="567" w:right="567"/>
      <w:jc w:val="center"/>
      <w:outlineLvl w:val="0"/>
    </w:pPr>
    <w:rPr>
      <w:rFonts w:ascii="Segoe UI" w:eastAsia="Calibri" w:hAnsi="Segoe UI" w:cs="Times New Roman"/>
      <w:b/>
      <w:bCs/>
      <w:noProof/>
      <w:spacing w:val="-4"/>
      <w:sz w:val="28"/>
      <w:szCs w:val="24"/>
    </w:rPr>
  </w:style>
  <w:style w:type="character" w:customStyle="1" w:styleId="IKeyWordsChar">
    <w:name w:val="I_KeyWords Char"/>
    <w:link w:val="IKeyWords"/>
    <w:rsid w:val="00DB1AD2"/>
    <w:rPr>
      <w:rFonts w:ascii="Cambria" w:eastAsia="Batang" w:hAnsi="Cambria" w:cs="Calibri"/>
      <w:b/>
      <w:spacing w:val="-10"/>
      <w:sz w:val="16"/>
      <w:szCs w:val="16"/>
      <w:lang w:val="nl-NL" w:eastAsia="en-US" w:bidi="ar-SA"/>
    </w:rPr>
  </w:style>
  <w:style w:type="character" w:customStyle="1" w:styleId="ListParagraphChar">
    <w:name w:val="List Paragraph Char"/>
    <w:aliases w:val="spasi 2 taiiii Char"/>
    <w:link w:val="ListParagraph"/>
    <w:uiPriority w:val="34"/>
    <w:qFormat/>
    <w:locked/>
    <w:rsid w:val="00D016E4"/>
    <w:rPr>
      <w:rFonts w:ascii="Segoe UI Black" w:hAnsi="Segoe UI Black" w:cs="Arial"/>
      <w:spacing w:val="-6"/>
      <w:lang w:eastAsia="en-US"/>
    </w:rPr>
  </w:style>
  <w:style w:type="paragraph" w:customStyle="1" w:styleId="Els-dedicated-to">
    <w:name w:val="Els-dedicated-to"/>
    <w:basedOn w:val="Normal"/>
    <w:rsid w:val="003A60BA"/>
    <w:pPr>
      <w:widowControl w:val="0"/>
      <w:spacing w:line="230" w:lineRule="auto"/>
      <w:jc w:val="center"/>
    </w:pPr>
    <w:rPr>
      <w:rFonts w:ascii="Times New Roman" w:hAnsi="Times New Roman" w:cs="Times New Roman"/>
      <w:spacing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FF4"/>
    <w:pPr>
      <w:spacing w:after="200" w:line="276" w:lineRule="auto"/>
    </w:pPr>
    <w:rPr>
      <w:rFonts w:ascii="Segoe UI Black" w:hAnsi="Segoe UI Black" w:cs="Arial"/>
      <w:spacing w:val="-6"/>
      <w:szCs w:val="22"/>
      <w:lang w:eastAsia="en-US"/>
    </w:rPr>
  </w:style>
  <w:style w:type="paragraph" w:styleId="Heading1">
    <w:name w:val="heading 1"/>
    <w:basedOn w:val="Normal"/>
    <w:next w:val="Normal"/>
    <w:link w:val="Heading1Char1"/>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Cs w:val="20"/>
      <w:lang w:eastAsia="ja-JP"/>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 Char,Char"/>
    <w:basedOn w:val="Normal"/>
    <w:link w:val="FootnoteTextChar4"/>
    <w:uiPriority w:val="99"/>
    <w:semiHidden/>
    <w:rsid w:val="009D5521"/>
    <w:rPr>
      <w:szCs w:val="20"/>
    </w:rPr>
  </w:style>
  <w:style w:type="character" w:customStyle="1" w:styleId="FootnoteTextChar4">
    <w:name w:val="Footnote Text Char4"/>
    <w:aliases w:val="Footnote Text Char Char Char Char1,Footnote Text Char Char Char Char Char Char Char,Footnote Text Char Char Char Char Char, Char Char,Char Char3"/>
    <w:link w:val="FootnoteText"/>
    <w:semiHidden/>
    <w:locked/>
    <w:rsid w:val="009D5521"/>
    <w:rPr>
      <w:rFonts w:ascii="Calibri" w:hAnsi="Calibri" w:cs="Arial"/>
      <w:lang w:val="id-ID" w:eastAsia="en-US" w:bidi="ar-SA"/>
    </w:rPr>
  </w:style>
  <w:style w:type="character" w:styleId="FootnoteReference">
    <w:name w:val="footnote reference"/>
    <w:semiHidden/>
    <w:rsid w:val="009D5521"/>
    <w:rPr>
      <w:vertAlign w:val="superscript"/>
    </w:rPr>
  </w:style>
  <w:style w:type="paragraph" w:styleId="Header">
    <w:name w:val="header"/>
    <w:aliases w:val="HEADER kiri"/>
    <w:basedOn w:val="Normal"/>
    <w:link w:val="HeaderChar"/>
    <w:rsid w:val="005C7FF4"/>
    <w:pPr>
      <w:tabs>
        <w:tab w:val="center" w:pos="4153"/>
        <w:tab w:val="right" w:pos="8306"/>
      </w:tabs>
    </w:pPr>
    <w:rPr>
      <w:rFonts w:ascii="Segoe UI Emoji" w:hAnsi="Segoe UI Emoji" w:cs="Angsana New"/>
      <w:i/>
      <w:spacing w:val="-2"/>
      <w:sz w:val="18"/>
      <w:szCs w:val="25"/>
    </w:rPr>
  </w:style>
  <w:style w:type="character" w:customStyle="1" w:styleId="HeaderChar">
    <w:name w:val="Header Char"/>
    <w:aliases w:val="HEADER kiri Char"/>
    <w:link w:val="Header"/>
    <w:locked/>
    <w:rsid w:val="005C7FF4"/>
    <w:rPr>
      <w:rFonts w:ascii="Segoe UI Emoji" w:hAnsi="Segoe UI Emoji" w:cs="Angsana New"/>
      <w:i/>
      <w:spacing w:val="-2"/>
      <w:sz w:val="18"/>
      <w:szCs w:val="25"/>
      <w:lang w:eastAsia="en-US"/>
    </w:rPr>
  </w:style>
  <w:style w:type="paragraph" w:customStyle="1" w:styleId="FOOTER-edisi">
    <w:name w:val="FOOTER-edisi"/>
    <w:basedOn w:val="Footer"/>
    <w:rsid w:val="009D5521"/>
    <w:pPr>
      <w:spacing w:after="0" w:line="240" w:lineRule="auto"/>
    </w:pPr>
    <w:rPr>
      <w:rFonts w:ascii="Cambria" w:hAnsi="Cambria" w:cs="Arabic Typesetting"/>
      <w:spacing w:val="-10"/>
      <w:sz w:val="21"/>
    </w:rPr>
  </w:style>
  <w:style w:type="paragraph" w:styleId="Footer">
    <w:name w:val="footer"/>
    <w:basedOn w:val="Normal"/>
    <w:link w:val="FooterChar10"/>
    <w:uiPriority w:val="99"/>
    <w:rsid w:val="005C7FF4"/>
    <w:pPr>
      <w:tabs>
        <w:tab w:val="center" w:pos="4320"/>
        <w:tab w:val="right" w:pos="8640"/>
      </w:tabs>
    </w:pPr>
    <w:rPr>
      <w:rFonts w:ascii="Segoe UI" w:hAnsi="Segoe UI"/>
      <w:color w:val="C00000"/>
      <w:sz w:val="18"/>
    </w:rPr>
  </w:style>
  <w:style w:type="character" w:customStyle="1" w:styleId="FooterChar10">
    <w:name w:val="Footer Char10"/>
    <w:link w:val="Footer"/>
    <w:uiPriority w:val="99"/>
    <w:locked/>
    <w:rsid w:val="005C7FF4"/>
    <w:rPr>
      <w:rFonts w:ascii="Segoe UI" w:hAnsi="Segoe UI" w:cs="Arial"/>
      <w:color w:val="C00000"/>
      <w:spacing w:val="-6"/>
      <w:sz w:val="18"/>
      <w:szCs w:val="22"/>
      <w:lang w:eastAsia="en-US"/>
    </w:rPr>
  </w:style>
  <w:style w:type="paragraph" w:customStyle="1" w:styleId="ISI">
    <w:name w:val="ISI"/>
    <w:basedOn w:val="Normal"/>
    <w:link w:val="ISIChar"/>
    <w:rsid w:val="004036D7"/>
    <w:pPr>
      <w:spacing w:after="80" w:line="300" w:lineRule="exact"/>
      <w:ind w:firstLine="340"/>
      <w:jc w:val="both"/>
    </w:pPr>
    <w:rPr>
      <w:rFonts w:ascii="Segoe UI" w:hAnsi="Segoe UI" w:cs="Cambria"/>
      <w:sz w:val="21"/>
    </w:rPr>
  </w:style>
  <w:style w:type="character" w:customStyle="1" w:styleId="ISIChar">
    <w:name w:val="ISI Char"/>
    <w:link w:val="ISI"/>
    <w:rsid w:val="004036D7"/>
    <w:rPr>
      <w:rFonts w:ascii="Segoe UI" w:hAnsi="Segoe UI" w:cs="Cambria"/>
      <w:spacing w:val="-6"/>
      <w:sz w:val="21"/>
      <w:szCs w:val="22"/>
      <w:lang w:eastAsia="en-US"/>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paragraph" w:customStyle="1" w:styleId="StyleIABSSSLatinBoldGray-80">
    <w:name w:val="Style I_ABSSS + (Latin) Bold Gray-80%"/>
    <w:basedOn w:val="IABSSS"/>
    <w:rsid w:val="00292824"/>
    <w:rPr>
      <w:rFonts w:ascii="Segoe UI Black" w:hAnsi="Segoe UI Black"/>
      <w:b/>
      <w:color w:val="333333"/>
      <w:sz w:val="20"/>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867514"/>
    <w:pPr>
      <w:spacing w:before="180" w:after="80" w:line="300" w:lineRule="exact"/>
      <w:ind w:left="340" w:hanging="340"/>
      <w:outlineLvl w:val="2"/>
    </w:pPr>
    <w:rPr>
      <w:rFonts w:ascii="Segoe UI" w:hAnsi="Segoe UI"/>
      <w:b/>
      <w:bCs/>
      <w:spacing w:val="-4"/>
      <w:sz w:val="24"/>
      <w:szCs w:val="26"/>
    </w:rPr>
  </w:style>
  <w:style w:type="character" w:customStyle="1" w:styleId="I-POINTCharChar">
    <w:name w:val="I-POINT Char Char"/>
    <w:link w:val="I-POINT"/>
    <w:rsid w:val="00867514"/>
    <w:rPr>
      <w:rFonts w:ascii="Segoe UI" w:hAnsi="Segoe UI" w:cs="Arial"/>
      <w:b/>
      <w:bCs/>
      <w:spacing w:val="-4"/>
      <w:sz w:val="24"/>
      <w:szCs w:val="26"/>
      <w:lang w:eastAsia="en-US"/>
    </w:rPr>
  </w:style>
  <w:style w:type="character" w:styleId="PageNumber">
    <w:name w:val="page number"/>
    <w:basedOn w:val="DefaultParagraphFont"/>
    <w:semiHidden/>
    <w:rsid w:val="009D5521"/>
  </w:style>
  <w:style w:type="paragraph" w:styleId="ListParagraph">
    <w:name w:val="List Paragraph"/>
    <w:aliases w:val="spasi 2 taiiii"/>
    <w:basedOn w:val="Normal"/>
    <w:link w:val="ListParagraphChar"/>
    <w:uiPriority w:val="34"/>
    <w:qFormat/>
    <w:rsid w:val="009D5521"/>
    <w:pPr>
      <w:spacing w:before="100" w:beforeAutospacing="1" w:after="100" w:afterAutospacing="1"/>
      <w:ind w:left="720"/>
    </w:pPr>
    <w:rPr>
      <w:szCs w:val="20"/>
    </w:rPr>
  </w:style>
  <w:style w:type="paragraph" w:styleId="EndnoteText">
    <w:name w:val="endnote text"/>
    <w:basedOn w:val="Normal"/>
    <w:link w:val="EndnoteTextChar"/>
    <w:semiHidden/>
    <w:rsid w:val="009D5521"/>
    <w:pPr>
      <w:spacing w:beforeAutospacing="1" w:afterAutospacing="1"/>
    </w:pPr>
    <w:rPr>
      <w:szCs w:val="20"/>
    </w:rPr>
  </w:style>
  <w:style w:type="character" w:customStyle="1" w:styleId="EndnoteTextChar">
    <w:name w:val="Endnote Text Char"/>
    <w:link w:val="EndnoteText"/>
    <w:locked/>
    <w:rsid w:val="009D5521"/>
    <w:rPr>
      <w:rFonts w:ascii="Calibri" w:hAnsi="Calibri" w:cs="Arial"/>
      <w:lang w:val="id-ID" w:eastAsia="en-US" w:bidi="ar-SA"/>
    </w:rPr>
  </w:style>
  <w:style w:type="paragraph" w:customStyle="1" w:styleId="Iabs">
    <w:name w:val="I_abs"/>
    <w:basedOn w:val="Normal"/>
    <w:link w:val="IabsChar"/>
    <w:rsid w:val="004C1E7B"/>
    <w:pPr>
      <w:spacing w:before="120" w:after="120"/>
      <w:ind w:left="567" w:right="567"/>
    </w:pPr>
    <w:rPr>
      <w:b/>
    </w:rPr>
  </w:style>
  <w:style w:type="character" w:customStyle="1" w:styleId="IabsChar">
    <w:name w:val="I_abs Char"/>
    <w:link w:val="Iabs"/>
    <w:rsid w:val="004C1E7B"/>
    <w:rPr>
      <w:rFonts w:ascii="Calibri" w:hAnsi="Calibri" w:cs="Arial"/>
      <w:b/>
      <w:sz w:val="22"/>
      <w:szCs w:val="22"/>
      <w:lang w:val="id-ID" w:eastAsia="en-US" w:bidi="ar-SA"/>
    </w:rPr>
  </w:style>
  <w:style w:type="paragraph" w:customStyle="1" w:styleId="IPenket">
    <w:name w:val="I_Pen_ket"/>
    <w:basedOn w:val="Normal"/>
    <w:link w:val="IPenketChar"/>
    <w:rsid w:val="00867514"/>
    <w:pPr>
      <w:spacing w:before="60" w:after="360" w:line="240" w:lineRule="exact"/>
      <w:jc w:val="center"/>
    </w:pPr>
    <w:rPr>
      <w:rFonts w:ascii="Segoe UI" w:hAnsi="Segoe UI"/>
      <w:spacing w:val="-8"/>
    </w:rPr>
  </w:style>
  <w:style w:type="character" w:customStyle="1" w:styleId="IPenketChar">
    <w:name w:val="I_Pen_ket Char"/>
    <w:link w:val="IPenket"/>
    <w:rsid w:val="00867514"/>
    <w:rPr>
      <w:rFonts w:ascii="Segoe UI" w:hAnsi="Segoe UI" w:cs="Arial"/>
      <w:spacing w:val="-8"/>
      <w:szCs w:val="22"/>
      <w:lang w:eastAsia="en-US"/>
    </w:rPr>
  </w:style>
  <w:style w:type="paragraph" w:customStyle="1" w:styleId="Ipoint-1">
    <w:name w:val="I_point-1"/>
    <w:basedOn w:val="Normal"/>
    <w:link w:val="Ipoint-1CharChar"/>
    <w:rsid w:val="000D48AA"/>
    <w:pPr>
      <w:spacing w:before="180" w:after="120" w:line="300" w:lineRule="exact"/>
      <w:ind w:left="340"/>
      <w:outlineLvl w:val="3"/>
    </w:pPr>
    <w:rPr>
      <w:rFonts w:ascii="Cambria" w:hAnsi="Cambria"/>
      <w:b/>
      <w:bCs/>
      <w:spacing w:val="-12"/>
    </w:rPr>
  </w:style>
  <w:style w:type="character" w:customStyle="1" w:styleId="Ipoint-1CharChar">
    <w:name w:val="I_point-1 Char Char"/>
    <w:link w:val="Ipoint-1"/>
    <w:rsid w:val="000D48AA"/>
    <w:rPr>
      <w:rFonts w:ascii="Cambria" w:hAnsi="Cambria" w:cs="Arial"/>
      <w:b/>
      <w:bCs/>
      <w:spacing w:val="-12"/>
      <w:sz w:val="22"/>
      <w:szCs w:val="22"/>
      <w:lang w:val="id-ID" w:eastAsia="en-US"/>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TOPKey">
    <w:name w:val="I_TOP_Key"/>
    <w:basedOn w:val="IAKEY"/>
    <w:rsid w:val="00DB1AD2"/>
    <w:rPr>
      <w:rFonts w:ascii="Calibri" w:hAnsi="Calibri"/>
      <w:sz w:val="20"/>
    </w:rPr>
  </w:style>
  <w:style w:type="paragraph" w:customStyle="1" w:styleId="IKeyWords">
    <w:name w:val="I_KeyWords"/>
    <w:basedOn w:val="IAKEY"/>
    <w:link w:val="IKeyWordsChar"/>
    <w:rsid w:val="00DB1AD2"/>
    <w:rPr>
      <w:b w:val="0"/>
      <w:sz w:val="16"/>
      <w:szCs w:val="16"/>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Segoe UI" w:hAnsi="Segoe UI" w:cs="Cambria"/>
      <w:spacing w:val="-6"/>
      <w:sz w:val="21"/>
      <w:szCs w:val="22"/>
      <w:lang w:eastAsia="en-US"/>
    </w:rPr>
  </w:style>
  <w:style w:type="paragraph" w:styleId="BodyText">
    <w:name w:val="Body Text"/>
    <w:basedOn w:val="Normal"/>
    <w:link w:val="BodyTextChar"/>
    <w:semiHidden/>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BD10F1"/>
    <w:pPr>
      <w:outlineLvl w:val="4"/>
    </w:pPr>
    <w:rPr>
      <w:rFonts w:ascii="Calibri" w:hAnsi="Calibri"/>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qFormat/>
    <w:rsid w:val="009D5521"/>
    <w:rPr>
      <w:i/>
      <w:iCs/>
    </w:rPr>
  </w:style>
  <w:style w:type="paragraph" w:customStyle="1" w:styleId="IPENULIS">
    <w:name w:val="I_PENULIS"/>
    <w:basedOn w:val="Iabs"/>
    <w:link w:val="IPENULISChar"/>
    <w:rsid w:val="005C7FF4"/>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5C7FF4"/>
    <w:rPr>
      <w:rFonts w:ascii="Century Gothic" w:hAnsi="Century Gothic" w:cs="Arial"/>
      <w:bCs/>
      <w:color w:val="7E0000"/>
      <w:spacing w:val="-6"/>
      <w:sz w:val="24"/>
      <w:szCs w:val="22"/>
      <w:lang w:eastAsia="en-US"/>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
    <w:name w:val="Balloon Text Char"/>
    <w:link w:val="BalloonText"/>
    <w:locked/>
    <w:rsid w:val="009D5521"/>
    <w:rPr>
      <w:rFonts w:ascii="Tahoma" w:hAnsi="Tahoma"/>
      <w:noProof/>
      <w:sz w:val="16"/>
      <w:szCs w:val="16"/>
      <w:lang w:val="id-ID" w:bidi="ar-SA"/>
    </w:rPr>
  </w:style>
  <w:style w:type="paragraph" w:styleId="BalloonText">
    <w:name w:val="Balloon Text"/>
    <w:basedOn w:val="Normal"/>
    <w:link w:val="BalloonTextChar"/>
    <w:rsid w:val="009D5521"/>
    <w:rPr>
      <w:rFonts w:ascii="Tahoma" w:hAnsi="Tahoma" w:cs="Times New Roman"/>
      <w:noProof/>
      <w:sz w:val="16"/>
      <w:szCs w:val="16"/>
      <w:lang w:eastAsia="ja-JP"/>
    </w:rPr>
  </w:style>
  <w:style w:type="paragraph" w:customStyle="1" w:styleId="FootnoteText1">
    <w:name w:val="Footnote Text1"/>
    <w:basedOn w:val="Normal"/>
    <w:semiHidden/>
    <w:rsid w:val="009D5521"/>
    <w:pPr>
      <w:widowControl w:val="0"/>
      <w:suppressAutoHyphens/>
    </w:pPr>
    <w:rPr>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lang w:val="en-US" w:eastAsia="en-US"/>
    </w:rPr>
  </w:style>
  <w:style w:type="paragraph" w:styleId="DocumentMap">
    <w:name w:val="Document Map"/>
    <w:basedOn w:val="Normal"/>
    <w:link w:val="DocumentMapChar"/>
    <w:semiHidden/>
    <w:rsid w:val="009D5521"/>
    <w:pPr>
      <w:shd w:val="clear" w:color="auto" w:fill="000080"/>
    </w:pPr>
    <w:rPr>
      <w:rFonts w:ascii="Tahoma" w:hAnsi="Tahoma" w:cs="Tahoma"/>
      <w:szCs w:val="20"/>
    </w:rPr>
  </w:style>
  <w:style w:type="character" w:customStyle="1" w:styleId="DocumentMapChar">
    <w:name w:val="Document Map Char"/>
    <w:link w:val="DocumentMap"/>
    <w:semiHidden/>
    <w:locked/>
    <w:rsid w:val="002107F6"/>
    <w:rPr>
      <w:rFonts w:ascii="Tahoma" w:hAnsi="Tahoma" w:cs="Tahoma"/>
      <w:lang w:val="id-ID" w:eastAsia="en-US" w:bidi="ar-SA"/>
    </w:rPr>
  </w:style>
  <w:style w:type="paragraph" w:customStyle="1" w:styleId="KATABEL">
    <w:name w:val="KA_TABEL"/>
    <w:basedOn w:val="Normal"/>
    <w:rsid w:val="009D5521"/>
    <w:pPr>
      <w:spacing w:before="240" w:after="120"/>
      <w:jc w:val="center"/>
      <w:outlineLvl w:val="2"/>
    </w:pPr>
    <w:rPr>
      <w:rFonts w:eastAsia="Calibri"/>
      <w:b/>
      <w:bCs/>
    </w:rPr>
  </w:style>
  <w:style w:type="paragraph" w:styleId="NoSpacing">
    <w:name w:val="No Spacing"/>
    <w:qFormat/>
    <w:rsid w:val="009D5521"/>
    <w:rPr>
      <w:rFonts w:ascii="Calibri" w:hAnsi="Calibri" w:cs="Arial"/>
      <w:sz w:val="22"/>
      <w:szCs w:val="22"/>
      <w:lang w:val="en-US" w:eastAsia="en-US"/>
    </w:rPr>
  </w:style>
  <w:style w:type="paragraph" w:customStyle="1" w:styleId="IABSSS">
    <w:name w:val="I_ABSSS"/>
    <w:basedOn w:val="Normal"/>
    <w:link w:val="IABSSSChar"/>
    <w:rsid w:val="00B2686E"/>
    <w:pPr>
      <w:spacing w:before="120" w:after="0" w:line="200" w:lineRule="exact"/>
      <w:ind w:left="1134" w:right="1134"/>
      <w:jc w:val="both"/>
    </w:pPr>
    <w:rPr>
      <w:rFonts w:ascii="Garamond" w:hAnsi="Garamond" w:cs="Calibri"/>
      <w:spacing w:val="-10"/>
      <w:sz w:val="21"/>
      <w:szCs w:val="20"/>
      <w:lang w:val="nl-NL"/>
    </w:rPr>
  </w:style>
  <w:style w:type="character" w:customStyle="1" w:styleId="IABSSSChar">
    <w:name w:val="I_ABSSS Char"/>
    <w:link w:val="IABSSS"/>
    <w:rsid w:val="00B2686E"/>
    <w:rPr>
      <w:rFonts w:ascii="Garamond" w:hAnsi="Garamond" w:cs="Calibri"/>
      <w:spacing w:val="-10"/>
      <w:sz w:val="21"/>
      <w:lang w:val="nl-NL" w:eastAsia="en-US"/>
    </w:rPr>
  </w:style>
  <w:style w:type="paragraph" w:customStyle="1" w:styleId="IAKEY">
    <w:name w:val="I_AKEY"/>
    <w:basedOn w:val="IABSSS"/>
    <w:link w:val="IAKEYChar"/>
    <w:rsid w:val="0070534E"/>
    <w:pPr>
      <w:spacing w:before="360" w:after="120"/>
      <w:ind w:left="2155" w:hanging="1021"/>
      <w:jc w:val="left"/>
    </w:pPr>
    <w:rPr>
      <w:rFonts w:eastAsia="Batang"/>
      <w:b/>
    </w:rPr>
  </w:style>
  <w:style w:type="character" w:customStyle="1" w:styleId="IAKEYChar">
    <w:name w:val="I_AKEY Char"/>
    <w:link w:val="IAKEY"/>
    <w:rsid w:val="0070534E"/>
    <w:rPr>
      <w:rFonts w:ascii="Cambria" w:eastAsia="Batang" w:hAnsi="Cambria" w:cs="Calibri"/>
      <w:b/>
      <w:spacing w:val="-10"/>
      <w:sz w:val="18"/>
      <w:lang w:val="nl-NL" w:eastAsia="en-US"/>
    </w:rPr>
  </w:style>
  <w:style w:type="paragraph" w:customStyle="1" w:styleId="IDAP">
    <w:name w:val="I_DAP"/>
    <w:basedOn w:val="Normal"/>
    <w:link w:val="IDAPChar"/>
    <w:rsid w:val="00787201"/>
    <w:pPr>
      <w:spacing w:before="240" w:after="240" w:line="320" w:lineRule="exact"/>
      <w:ind w:right="1134"/>
      <w:jc w:val="center"/>
      <w:outlineLvl w:val="0"/>
    </w:pPr>
    <w:rPr>
      <w:rFonts w:ascii="Cambria" w:hAnsi="Cambria"/>
      <w:b/>
      <w:bCs/>
      <w:spacing w:val="-8"/>
      <w:sz w:val="24"/>
    </w:rPr>
  </w:style>
  <w:style w:type="character" w:customStyle="1" w:styleId="IDAPChar">
    <w:name w:val="I_DAP Char"/>
    <w:link w:val="IDAP"/>
    <w:rsid w:val="005516D4"/>
    <w:rPr>
      <w:rFonts w:ascii="Cambria" w:hAnsi="Cambria" w:cs="Arial"/>
      <w:b/>
      <w:bCs/>
      <w:spacing w:val="-8"/>
      <w:sz w:val="24"/>
      <w:szCs w:val="22"/>
      <w:lang w:val="id-ID" w:eastAsia="en-US" w:bidi="ar-SA"/>
    </w:rPr>
  </w:style>
  <w:style w:type="paragraph" w:customStyle="1" w:styleId="Default">
    <w:name w:val="Default"/>
    <w:semiHidden/>
    <w:rsid w:val="009D5521"/>
    <w:pPr>
      <w:autoSpaceDE w:val="0"/>
      <w:autoSpaceDN w:val="0"/>
      <w:adjustRightInd w:val="0"/>
    </w:pPr>
    <w:rPr>
      <w:rFonts w:ascii="Garamond" w:eastAsia="Calibri" w:hAnsi="Garamond" w:cs="Garamond"/>
      <w:color w:val="000000"/>
      <w:sz w:val="24"/>
      <w:szCs w:val="24"/>
      <w:lang w:eastAsia="id-ID"/>
    </w:rPr>
  </w:style>
  <w:style w:type="paragraph" w:customStyle="1" w:styleId="IKAtabel">
    <w:name w:val="I_KA tabel"/>
    <w:basedOn w:val="Ipoint-1"/>
    <w:rsid w:val="00C46FD2"/>
    <w:pPr>
      <w:spacing w:after="240" w:line="280" w:lineRule="exact"/>
      <w:ind w:left="0"/>
    </w:pPr>
    <w:rPr>
      <w:rFonts w:ascii="Segoe UI Emoji" w:hAnsi="Segoe UI Emoji"/>
      <w:b w:val="0"/>
      <w:sz w:val="18"/>
      <w:lang w:val="nb-NO"/>
    </w:rPr>
  </w:style>
  <w:style w:type="paragraph" w:customStyle="1" w:styleId="ISI-point">
    <w:name w:val="ISI-point"/>
    <w:basedOn w:val="Normal"/>
    <w:link w:val="ISI-pointChar"/>
    <w:rsid w:val="00AC7A63"/>
    <w:pPr>
      <w:spacing w:after="120" w:line="30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AC7A63"/>
    <w:rPr>
      <w:rFonts w:ascii="Cambria" w:eastAsia="Calibri" w:hAnsi="Cambria" w:cs="Arial"/>
      <w:spacing w:val="-8"/>
      <w:sz w:val="22"/>
      <w:szCs w:val="26"/>
      <w:lang w:val="en-GB" w:eastAsia="en-US"/>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lang w:val="en-US" w:eastAsia="en-US"/>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lang w:val="en-US" w:eastAsia="en-US"/>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lang w:val="en-US" w:eastAsia="en-US"/>
    </w:rPr>
  </w:style>
  <w:style w:type="paragraph" w:customStyle="1" w:styleId="kutipan0">
    <w:name w:val="kutipan"/>
    <w:semiHidde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lang w:val="en-US" w:eastAsia="en-US"/>
    </w:rPr>
  </w:style>
  <w:style w:type="paragraph" w:customStyle="1" w:styleId="isi0">
    <w:name w:val="isi"/>
    <w:semiHidden/>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lang w:val="en-US" w:eastAsia="en-US"/>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lang w:val="en-US" w:eastAsia="en-US"/>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lang w:val="en-US" w:eastAsia="en-US"/>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0D48AA"/>
    <w:rPr>
      <w:rFonts w:ascii="Calibri" w:hAnsi="Calibri"/>
    </w:rPr>
  </w:style>
  <w:style w:type="paragraph" w:styleId="CommentText">
    <w:name w:val="annotation text"/>
    <w:basedOn w:val="Normal"/>
    <w:link w:val="CommentTextChar"/>
    <w:semiHidden/>
    <w:rsid w:val="009D5521"/>
    <w:rPr>
      <w:szCs w:val="20"/>
    </w:rPr>
  </w:style>
  <w:style w:type="character" w:customStyle="1" w:styleId="CommentTextChar">
    <w:name w:val="Comment Text Char"/>
    <w:link w:val="CommentText"/>
    <w:rsid w:val="009D5521"/>
    <w:rPr>
      <w:rFonts w:ascii="Calibri" w:hAnsi="Calibri" w:cs="Arial"/>
      <w:lang w:val="id-ID" w:eastAsia="en-US" w:bidi="ar-SA"/>
    </w:rPr>
  </w:style>
  <w:style w:type="paragraph" w:styleId="CommentSubject">
    <w:name w:val="annotation subject"/>
    <w:basedOn w:val="CommentText"/>
    <w:next w:val="CommentText"/>
    <w:link w:val="CommentSubjectChar"/>
    <w:semiHidden/>
    <w:rsid w:val="009D5521"/>
    <w:rPr>
      <w:b/>
      <w:bCs/>
    </w:rPr>
  </w:style>
  <w:style w:type="character" w:customStyle="1" w:styleId="CommentSubjectChar">
    <w:name w:val="Comment Subject Char"/>
    <w:link w:val="CommentSubjec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line="220" w:lineRule="exact"/>
    </w:pPr>
  </w:style>
  <w:style w:type="paragraph" w:customStyle="1" w:styleId="Ika-GAMBAR">
    <w:name w:val="I_ka-GAMBAR"/>
    <w:basedOn w:val="IKAtabel"/>
    <w:rsid w:val="001F26B0"/>
    <w:pPr>
      <w:spacing w:before="120" w:line="220" w:lineRule="exact"/>
      <w:jc w:val="center"/>
    </w:pPr>
    <w:rPr>
      <w:sz w:val="20"/>
    </w:rPr>
  </w:style>
  <w:style w:type="paragraph" w:customStyle="1" w:styleId="HEADER-JUDUL">
    <w:name w:val="HEADER-JUDUL"/>
    <w:basedOn w:val="Normal"/>
    <w:semiHidden/>
    <w:rsid w:val="009D5521"/>
    <w:pPr>
      <w:tabs>
        <w:tab w:val="center" w:pos="4320"/>
        <w:tab w:val="right" w:pos="8640"/>
      </w:tabs>
      <w:spacing w:after="0" w:line="240" w:lineRule="auto"/>
      <w:jc w:val="right"/>
    </w:pPr>
    <w:rPr>
      <w:rFonts w:ascii="Cambria" w:hAnsi="Cambria"/>
      <w:spacing w:val="-8"/>
      <w:sz w:val="18"/>
      <w:szCs w:val="18"/>
      <w:lang w:val="en-US"/>
    </w:rPr>
  </w:style>
  <w:style w:type="paragraph" w:customStyle="1" w:styleId="IPOINTMASUK">
    <w:name w:val="I_POINT_MASUK&gt;"/>
    <w:basedOn w:val="Normal"/>
    <w:link w:val="IPOINTMASUKChar"/>
    <w:rsid w:val="00D420C2"/>
    <w:pPr>
      <w:spacing w:after="40" w:line="280" w:lineRule="exact"/>
      <w:ind w:left="680" w:hanging="340"/>
      <w:jc w:val="both"/>
    </w:pPr>
    <w:rPr>
      <w:rFonts w:ascii="Cambria" w:hAnsi="Cambria" w:cs="Times New Roman"/>
      <w:spacing w:val="-10"/>
      <w:szCs w:val="24"/>
      <w:lang w:eastAsia="en-GB"/>
    </w:rPr>
  </w:style>
  <w:style w:type="character" w:customStyle="1" w:styleId="IPOINTMASUKChar">
    <w:name w:val="I_POINT_MASUK&gt; Char"/>
    <w:link w:val="IPOINTMASUK"/>
    <w:rsid w:val="00D420C2"/>
    <w:rPr>
      <w:rFonts w:ascii="Cambria" w:hAnsi="Cambria"/>
      <w:spacing w:val="-10"/>
      <w:sz w:val="22"/>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Cs w:val="20"/>
      <w:lang w:val="en-US"/>
    </w:rPr>
  </w:style>
  <w:style w:type="paragraph" w:customStyle="1" w:styleId="Afiliation">
    <w:name w:val="Afiliation"/>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semiHidden/>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semiHidden/>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aliases w:val="Char Char Char"/>
    <w:basedOn w:val="DefaultParagraphFont"/>
    <w:semiHidden/>
    <w:rsid w:val="009D5521"/>
  </w:style>
  <w:style w:type="character" w:styleId="Hyperlink">
    <w:name w:val="Hyperlink"/>
    <w:semiHidden/>
    <w:rsid w:val="009D5521"/>
    <w:rPr>
      <w:color w:val="0000FF"/>
      <w:u w:val="single"/>
    </w:rPr>
  </w:style>
  <w:style w:type="paragraph" w:styleId="NormalWeb">
    <w:name w:val="Normal (Web)"/>
    <w:basedOn w:val="Normal"/>
    <w:uiPriority w:val="99"/>
    <w:semiHidden/>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semiHidden/>
    <w:rsid w:val="009D5521"/>
    <w:pPr>
      <w:bidi/>
    </w:pPr>
    <w:rPr>
      <w:rFonts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semiHidden/>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tabs>
        <w:tab w:val="num" w:pos="360"/>
      </w:tabs>
      <w:ind w:left="360" w:hanging="360"/>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0D2D60"/>
    <w:pPr>
      <w:tabs>
        <w:tab w:val="right" w:pos="3031"/>
      </w:tabs>
      <w:spacing w:after="0"/>
      <w:ind w:left="220" w:hanging="220"/>
    </w:pPr>
    <w:rPr>
      <w:rFonts w:ascii="Cambria" w:hAnsi="Cambria" w:cs="Times New Roman"/>
      <w:bCs/>
      <w:noProof/>
      <w:spacing w:val="-8"/>
      <w:sz w:val="18"/>
      <w:szCs w:val="21"/>
    </w:rPr>
  </w:style>
  <w:style w:type="paragraph" w:styleId="Index2">
    <w:name w:val="index 2"/>
    <w:basedOn w:val="Normal"/>
    <w:next w:val="Normal"/>
    <w:autoRedefine/>
    <w:semiHidden/>
    <w:rsid w:val="000D2D60"/>
    <w:pPr>
      <w:spacing w:after="0"/>
      <w:ind w:left="440" w:hanging="220"/>
    </w:pPr>
    <w:rPr>
      <w:rFonts w:ascii="Cambria" w:hAnsi="Cambria" w:cs="Times New Roman"/>
      <w:spacing w:val="-8"/>
      <w:sz w:val="18"/>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757138"/>
    <w:pPr>
      <w:spacing w:before="240" w:after="120"/>
      <w:ind w:left="140"/>
    </w:pPr>
    <w:rPr>
      <w:rFonts w:ascii="Arial" w:hAnsi="Arial"/>
      <w:b/>
      <w:bCs/>
      <w:sz w:val="28"/>
      <w:szCs w:val="33"/>
    </w:rPr>
  </w:style>
  <w:style w:type="paragraph" w:customStyle="1" w:styleId="HEADERPenulis">
    <w:name w:val="HEADER_Penulis"/>
    <w:basedOn w:val="Normal"/>
    <w:semiHidden/>
    <w:rsid w:val="009D5521"/>
    <w:pPr>
      <w:tabs>
        <w:tab w:val="center" w:pos="4320"/>
        <w:tab w:val="right" w:pos="8640"/>
      </w:tabs>
      <w:spacing w:after="0" w:line="240" w:lineRule="auto"/>
    </w:pPr>
    <w:rPr>
      <w:rFonts w:ascii="Cambria" w:hAnsi="Cambria"/>
      <w:spacing w:val="-8"/>
      <w:sz w:val="18"/>
      <w:szCs w:val="18"/>
      <w:lang w:val="en-US"/>
    </w:rPr>
  </w:style>
  <w:style w:type="paragraph" w:customStyle="1" w:styleId="IHIPOTESIS">
    <w:name w:val="I_HIPOTESIS"/>
    <w:basedOn w:val="ISI-point"/>
    <w:qFormat/>
    <w:rsid w:val="005C7FF4"/>
    <w:pPr>
      <w:spacing w:after="80"/>
      <w:ind w:left="794" w:hanging="454"/>
      <w:jc w:val="left"/>
    </w:pPr>
    <w:rPr>
      <w:rFonts w:ascii="Segoe UI" w:hAnsi="Segoe UI"/>
      <w:i/>
      <w:sz w:val="21"/>
    </w:rPr>
  </w:style>
  <w:style w:type="paragraph" w:customStyle="1" w:styleId="ARAB-footnote">
    <w:name w:val="ARAB-footnote"/>
    <w:basedOn w:val="I-KUTIPpasal"/>
    <w:rsid w:val="009D5521"/>
    <w:pPr>
      <w:bidi/>
      <w:spacing w:line="240" w:lineRule="auto"/>
      <w:ind w:left="0" w:right="340" w:firstLine="0"/>
    </w:pPr>
    <w:rPr>
      <w:rFonts w:cs="KFGQPC Uthman Taha Naskh"/>
      <w:i/>
      <w:iCs w:val="0"/>
      <w:sz w:val="24"/>
      <w:szCs w:val="24"/>
    </w:rPr>
  </w:style>
  <w:style w:type="paragraph" w:customStyle="1" w:styleId="IIn-1">
    <w:name w:val="IIn-1"/>
    <w:basedOn w:val="Index1"/>
    <w:semiHidden/>
    <w:rsid w:val="009D5521"/>
  </w:style>
  <w:style w:type="paragraph" w:customStyle="1" w:styleId="IIHEAD">
    <w:name w:val="II_HEAD"/>
    <w:basedOn w:val="IndexHeading"/>
    <w:semiHidden/>
    <w:rsid w:val="00C81D5F"/>
    <w:pPr>
      <w:keepNext/>
      <w:tabs>
        <w:tab w:val="right" w:pos="3031"/>
      </w:tabs>
      <w:ind w:left="142"/>
      <w:outlineLvl w:val="1"/>
    </w:pPr>
    <w:rPr>
      <w:rFonts w:ascii="Cambria" w:hAnsi="Cambria"/>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semiHidden/>
    <w:rsid w:val="009D5521"/>
    <w:pPr>
      <w:spacing w:line="320" w:lineRule="exact"/>
    </w:pPr>
  </w:style>
  <w:style w:type="character" w:customStyle="1" w:styleId="reference-text">
    <w:name w:val="reference-text"/>
    <w:basedOn w:val="DefaultParagraphFont"/>
    <w:semiHidden/>
    <w:rsid w:val="009D5521"/>
  </w:style>
  <w:style w:type="paragraph" w:customStyle="1" w:styleId="msolistparagraphcxspmiddle">
    <w:name w:val="msolistparagraphcxspmiddle"/>
    <w:basedOn w:val="Normal"/>
    <w:semiHidden/>
    <w:rsid w:val="009D5521"/>
    <w:pPr>
      <w:spacing w:before="100" w:beforeAutospacing="1" w:after="100" w:afterAutospacing="1" w:line="240" w:lineRule="auto"/>
    </w:pPr>
    <w:rPr>
      <w:rFonts w:cs="Times New Roman"/>
      <w:sz w:val="24"/>
      <w:szCs w:val="24"/>
      <w:lang w:val="en-US"/>
    </w:rPr>
  </w:style>
  <w:style w:type="character" w:customStyle="1" w:styleId="links4">
    <w:name w:val="links4"/>
    <w:basedOn w:val="DefaultParagraphFont"/>
    <w:semiHidden/>
    <w:rsid w:val="009D5521"/>
  </w:style>
  <w:style w:type="character" w:customStyle="1" w:styleId="links2">
    <w:name w:val="links2"/>
    <w:basedOn w:val="DefaultParagraphFont"/>
    <w:semiHidden/>
    <w:rsid w:val="009D5521"/>
  </w:style>
  <w:style w:type="character" w:customStyle="1" w:styleId="Date1">
    <w:name w:val="Date1"/>
    <w:basedOn w:val="DefaultParagraphFont"/>
    <w:semiHidden/>
    <w:rsid w:val="009D5521"/>
  </w:style>
  <w:style w:type="character" w:customStyle="1" w:styleId="FooterChar">
    <w:name w:val="Footer Char"/>
    <w:uiPriority w:val="99"/>
    <w:semiHidden/>
    <w:locked/>
    <w:rsid w:val="00537C58"/>
    <w:rPr>
      <w:sz w:val="22"/>
      <w:lang w:val="x-none" w:eastAsia="en-US"/>
    </w:rPr>
  </w:style>
  <w:style w:type="character" w:customStyle="1" w:styleId="FootnoteTextChar">
    <w:name w:val="Footnote Text Char"/>
    <w:uiPriority w:val="99"/>
    <w:semiHidden/>
    <w:locked/>
    <w:rsid w:val="00537C58"/>
    <w:rPr>
      <w:rFonts w:eastAsia="Times New Roman"/>
      <w:lang w:val="en-US" w:eastAsia="en-US"/>
    </w:rPr>
  </w:style>
  <w:style w:type="character" w:customStyle="1" w:styleId="apple-style-span">
    <w:name w:val="apple-style-span"/>
    <w:semiHidden/>
    <w:rsid w:val="00537C58"/>
    <w:rPr>
      <w:rFonts w:cs="Times New Roman"/>
    </w:rPr>
  </w:style>
  <w:style w:type="character" w:customStyle="1" w:styleId="st">
    <w:name w:val="st"/>
    <w:semiHidden/>
    <w:rsid w:val="00537C58"/>
    <w:rPr>
      <w:rFonts w:cs="Times New Roman"/>
    </w:rPr>
  </w:style>
  <w:style w:type="character" w:customStyle="1" w:styleId="sign2">
    <w:name w:val="sign2"/>
    <w:semiHidden/>
    <w:rsid w:val="00A6584E"/>
    <w:rPr>
      <w:rFonts w:ascii="Times New Roman" w:hAnsi="Times New Roman" w:cs="Times New Roman" w:hint="default"/>
      <w:color w:val="FB7600"/>
      <w:sz w:val="24"/>
      <w:szCs w:val="24"/>
    </w:rPr>
  </w:style>
  <w:style w:type="character" w:customStyle="1" w:styleId="Heading1Char">
    <w:name w:val="Heading 1 Char"/>
    <w:semiHidden/>
    <w:locked/>
    <w:rsid w:val="00F0713C"/>
    <w:rPr>
      <w:rFonts w:ascii="Cambria" w:eastAsia="Times New Roman" w:hAnsi="Cambria" w:cs="Times New Roman"/>
      <w:b/>
      <w:bCs/>
      <w:color w:val="365F91"/>
      <w:sz w:val="28"/>
      <w:szCs w:val="28"/>
    </w:rPr>
  </w:style>
  <w:style w:type="character" w:customStyle="1" w:styleId="cq35rl0">
    <w:name w:val="cq35rl0"/>
    <w:semiHidden/>
    <w:rsid w:val="00F0713C"/>
    <w:rPr>
      <w:rFonts w:cs="Times New Roman"/>
    </w:rPr>
  </w:style>
  <w:style w:type="character" w:customStyle="1" w:styleId="internetlink">
    <w:name w:val="internetlink"/>
    <w:semiHidden/>
    <w:rsid w:val="00F0713C"/>
    <w:rPr>
      <w:rFonts w:cs="Times New Roman"/>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val="x-none"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eastAsia="x-none"/>
    </w:rPr>
  </w:style>
  <w:style w:type="character" w:customStyle="1" w:styleId="FooterChar8">
    <w:name w:val="Footer Char8"/>
    <w:semiHidden/>
    <w:rsid w:val="00F0713C"/>
    <w:rPr>
      <w:rFonts w:eastAsia="Times New Roman" w:cs="Times New Roman"/>
      <w:lang w:val="id-ID" w:eastAsia="x-none"/>
    </w:rPr>
  </w:style>
  <w:style w:type="character" w:customStyle="1" w:styleId="FooterChar9">
    <w:name w:val="Footer Char9"/>
    <w:semiHidden/>
    <w:rsid w:val="00F0713C"/>
    <w:rPr>
      <w:rFonts w:eastAsia="Times New Roman" w:cs="Times New Roman"/>
      <w:lang w:val="id-ID" w:eastAsia="x-none"/>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character" w:customStyle="1" w:styleId="Bodytext0">
    <w:name w:val="Body text_"/>
    <w:link w:val="BodyText20"/>
    <w:rsid w:val="00131B7E"/>
    <w:rPr>
      <w:shd w:val="clear" w:color="auto" w:fill="FFFFFF"/>
      <w:lang w:bidi="ar-SA"/>
    </w:rPr>
  </w:style>
  <w:style w:type="paragraph" w:customStyle="1" w:styleId="BodyText20">
    <w:name w:val="Body Text2"/>
    <w:basedOn w:val="Normal"/>
    <w:link w:val="Bodytext0"/>
    <w:semiHidden/>
    <w:rsid w:val="00131B7E"/>
    <w:pPr>
      <w:shd w:val="clear" w:color="auto" w:fill="FFFFFF"/>
      <w:spacing w:after="0" w:line="518" w:lineRule="exact"/>
      <w:ind w:hanging="380"/>
      <w:jc w:val="both"/>
    </w:pPr>
    <w:rPr>
      <w:rFonts w:ascii="Times New Roman" w:hAnsi="Times New Roman" w:cs="Times New Roman"/>
      <w:szCs w:val="20"/>
      <w:shd w:val="clear" w:color="auto" w:fill="FFFFFF"/>
      <w:lang w:eastAsia="ja-JP"/>
    </w:rPr>
  </w:style>
  <w:style w:type="character" w:customStyle="1" w:styleId="Bodytext3">
    <w:name w:val="Body text (3)_"/>
    <w:link w:val="Bodytext30"/>
    <w:rsid w:val="00131B7E"/>
    <w:rPr>
      <w:sz w:val="22"/>
      <w:szCs w:val="22"/>
      <w:shd w:val="clear" w:color="auto" w:fill="FFFFFF"/>
      <w:lang w:bidi="ar-SA"/>
    </w:rPr>
  </w:style>
  <w:style w:type="paragraph" w:customStyle="1" w:styleId="Bodytext30">
    <w:name w:val="Body text (3)"/>
    <w:basedOn w:val="Normal"/>
    <w:link w:val="Bodytext3"/>
    <w:semiHidden/>
    <w:rsid w:val="00131B7E"/>
    <w:pPr>
      <w:shd w:val="clear" w:color="auto" w:fill="FFFFFF"/>
      <w:spacing w:before="240" w:after="0" w:line="458" w:lineRule="exact"/>
      <w:jc w:val="center"/>
    </w:pPr>
    <w:rPr>
      <w:rFonts w:ascii="Times New Roman" w:hAnsi="Times New Roman" w:cs="Times New Roman"/>
      <w:shd w:val="clear" w:color="auto" w:fill="FFFFFF"/>
      <w:lang w:eastAsia="ja-JP"/>
    </w:rPr>
  </w:style>
  <w:style w:type="character" w:customStyle="1" w:styleId="Bodytext3Italic">
    <w:name w:val="Body text (3) + Italic"/>
    <w:semiHidden/>
    <w:rsid w:val="00131B7E"/>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131B7E"/>
  </w:style>
  <w:style w:type="paragraph" w:customStyle="1" w:styleId="FOOT-NOT">
    <w:name w:val="FOOT-NOT"/>
    <w:basedOn w:val="ISI"/>
    <w:qFormat/>
    <w:rsid w:val="00131B7E"/>
    <w:pPr>
      <w:spacing w:after="40" w:line="220" w:lineRule="exact"/>
      <w:ind w:firstLine="425"/>
    </w:pPr>
    <w:rPr>
      <w:rFonts w:ascii="Times New Arabic" w:hAnsi="Times New Arabic" w:cs="Traditional Arabic"/>
      <w:spacing w:val="-4"/>
      <w:sz w:val="18"/>
      <w:szCs w:val="18"/>
    </w:rPr>
  </w:style>
  <w:style w:type="character" w:customStyle="1" w:styleId="Bodytext2Bold">
    <w:name w:val="Body text (2) + Bold"/>
    <w:aliases w:val="Italic,Body text (3) + 10.5 pt"/>
    <w:semiHidden/>
    <w:rsid w:val="00131B7E"/>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131B7E"/>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131B7E"/>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131B7E"/>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643E1C"/>
  </w:style>
  <w:style w:type="paragraph" w:customStyle="1" w:styleId="Style2">
    <w:name w:val="Style2"/>
    <w:basedOn w:val="ISI"/>
    <w:semiHidden/>
    <w:rsid w:val="00063E39"/>
    <w:rPr>
      <w:lang w:val="en-US"/>
    </w:rPr>
  </w:style>
  <w:style w:type="character" w:customStyle="1" w:styleId="a">
    <w:name w:val="a"/>
    <w:semiHidden/>
    <w:rsid w:val="005443D4"/>
    <w:rPr>
      <w:rFonts w:cs="Times New Roman"/>
    </w:rPr>
  </w:style>
  <w:style w:type="character" w:customStyle="1" w:styleId="publication-meta-journal">
    <w:name w:val="publication-meta-journal"/>
    <w:basedOn w:val="DefaultParagraphFont"/>
    <w:semiHidden/>
    <w:rsid w:val="00AC52D6"/>
  </w:style>
  <w:style w:type="character" w:customStyle="1" w:styleId="size-xl">
    <w:name w:val="size-xl"/>
    <w:basedOn w:val="DefaultParagraphFont"/>
    <w:semiHidden/>
    <w:rsid w:val="00AC52D6"/>
  </w:style>
  <w:style w:type="character" w:customStyle="1" w:styleId="size-m">
    <w:name w:val="size-m"/>
    <w:basedOn w:val="DefaultParagraphFont"/>
    <w:semiHidden/>
    <w:rsid w:val="00AC52D6"/>
  </w:style>
  <w:style w:type="character" w:customStyle="1" w:styleId="smallcaps">
    <w:name w:val="smallcaps"/>
    <w:basedOn w:val="DefaultParagraphFont"/>
    <w:semiHidden/>
    <w:rsid w:val="00AC52D6"/>
  </w:style>
  <w:style w:type="character" w:customStyle="1" w:styleId="publication-meta-date">
    <w:name w:val="publication-meta-date"/>
    <w:basedOn w:val="DefaultParagraphFont"/>
    <w:semiHidden/>
    <w:rsid w:val="00AC52D6"/>
  </w:style>
  <w:style w:type="character" w:customStyle="1" w:styleId="publication-author-position">
    <w:name w:val="publication-author-position"/>
    <w:basedOn w:val="DefaultParagraphFont"/>
    <w:semiHidden/>
    <w:rsid w:val="00AC52D6"/>
  </w:style>
  <w:style w:type="paragraph" w:styleId="HTMLPreformatted">
    <w:name w:val="HTML Preformatted"/>
    <w:basedOn w:val="Normal"/>
    <w:semiHidden/>
    <w:unhideWhenUsed/>
    <w:rsid w:val="00AC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id-ID"/>
    </w:rPr>
  </w:style>
  <w:style w:type="paragraph" w:styleId="Bibliography">
    <w:name w:val="Bibliography"/>
    <w:basedOn w:val="Normal"/>
    <w:next w:val="Normal"/>
    <w:unhideWhenUsed/>
    <w:rsid w:val="00AC52D6"/>
    <w:rPr>
      <w:rFonts w:eastAsia="Calibri"/>
      <w:lang w:val="en-US"/>
    </w:rPr>
  </w:style>
  <w:style w:type="paragraph" w:customStyle="1" w:styleId="IGAMBAR">
    <w:name w:val="I_GAMBAR"/>
    <w:basedOn w:val="Normal"/>
    <w:rsid w:val="00B14EF4"/>
    <w:pPr>
      <w:autoSpaceDE w:val="0"/>
      <w:autoSpaceDN w:val="0"/>
      <w:adjustRightInd w:val="0"/>
      <w:spacing w:before="240" w:after="120" w:line="240" w:lineRule="auto"/>
      <w:jc w:val="center"/>
    </w:pPr>
    <w:rPr>
      <w:rFonts w:cs="Times New Roman"/>
      <w:bCs/>
      <w:spacing w:val="3"/>
      <w:szCs w:val="20"/>
    </w:rPr>
  </w:style>
  <w:style w:type="character" w:customStyle="1" w:styleId="notranslate">
    <w:name w:val="notranslate"/>
    <w:semiHidden/>
    <w:rsid w:val="00C63058"/>
  </w:style>
  <w:style w:type="character" w:customStyle="1" w:styleId="UnresolvedMention1">
    <w:name w:val="Unresolved Mention1"/>
    <w:uiPriority w:val="99"/>
    <w:semiHidden/>
    <w:unhideWhenUsed/>
    <w:rsid w:val="00C63058"/>
    <w:rPr>
      <w:color w:val="605E5C"/>
      <w:shd w:val="clear" w:color="auto" w:fill="E1DFDD"/>
    </w:rPr>
  </w:style>
  <w:style w:type="character" w:styleId="CommentReference">
    <w:name w:val="annotation reference"/>
    <w:unhideWhenUsed/>
    <w:rsid w:val="00C63058"/>
    <w:rPr>
      <w:sz w:val="16"/>
      <w:szCs w:val="16"/>
    </w:rPr>
  </w:style>
  <w:style w:type="paragraph" w:customStyle="1" w:styleId="IJUDULBARU">
    <w:name w:val="I_JUDUL BARU"/>
    <w:basedOn w:val="Normal"/>
    <w:rsid w:val="00292824"/>
    <w:pPr>
      <w:spacing w:before="600" w:after="360" w:line="320" w:lineRule="exact"/>
      <w:ind w:left="567" w:right="567"/>
      <w:jc w:val="center"/>
      <w:outlineLvl w:val="0"/>
    </w:pPr>
    <w:rPr>
      <w:rFonts w:ascii="Segoe UI" w:eastAsia="Calibri" w:hAnsi="Segoe UI" w:cs="Times New Roman"/>
      <w:b/>
      <w:bCs/>
      <w:noProof/>
      <w:spacing w:val="-4"/>
      <w:sz w:val="28"/>
      <w:szCs w:val="24"/>
    </w:rPr>
  </w:style>
  <w:style w:type="character" w:customStyle="1" w:styleId="IKeyWordsChar">
    <w:name w:val="I_KeyWords Char"/>
    <w:link w:val="IKeyWords"/>
    <w:rsid w:val="00DB1AD2"/>
    <w:rPr>
      <w:rFonts w:ascii="Cambria" w:eastAsia="Batang" w:hAnsi="Cambria" w:cs="Calibri"/>
      <w:b/>
      <w:spacing w:val="-10"/>
      <w:sz w:val="16"/>
      <w:szCs w:val="16"/>
      <w:lang w:val="nl-NL" w:eastAsia="en-US" w:bidi="ar-SA"/>
    </w:rPr>
  </w:style>
  <w:style w:type="character" w:customStyle="1" w:styleId="ListParagraphChar">
    <w:name w:val="List Paragraph Char"/>
    <w:aliases w:val="spasi 2 taiiii Char"/>
    <w:link w:val="ListParagraph"/>
    <w:uiPriority w:val="34"/>
    <w:qFormat/>
    <w:locked/>
    <w:rsid w:val="00D016E4"/>
    <w:rPr>
      <w:rFonts w:ascii="Segoe UI Black" w:hAnsi="Segoe UI Black" w:cs="Arial"/>
      <w:spacing w:val="-6"/>
      <w:lang w:eastAsia="en-US"/>
    </w:rPr>
  </w:style>
  <w:style w:type="paragraph" w:customStyle="1" w:styleId="Els-dedicated-to">
    <w:name w:val="Els-dedicated-to"/>
    <w:basedOn w:val="Normal"/>
    <w:rsid w:val="003A60BA"/>
    <w:pPr>
      <w:widowControl w:val="0"/>
      <w:spacing w:line="230" w:lineRule="auto"/>
      <w:jc w:val="center"/>
    </w:pPr>
    <w:rPr>
      <w:rFonts w:ascii="Times New Roman" w:hAnsi="Times New Roman" w:cs="Times New Roman"/>
      <w:spacing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100989">
      <w:bodyDiv w:val="1"/>
      <w:marLeft w:val="0"/>
      <w:marRight w:val="0"/>
      <w:marTop w:val="0"/>
      <w:marBottom w:val="0"/>
      <w:divBdr>
        <w:top w:val="none" w:sz="0" w:space="0" w:color="auto"/>
        <w:left w:val="none" w:sz="0" w:space="0" w:color="auto"/>
        <w:bottom w:val="none" w:sz="0" w:space="0" w:color="auto"/>
        <w:right w:val="none" w:sz="0" w:space="0" w:color="auto"/>
      </w:divBdr>
    </w:div>
    <w:div w:id="9434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2CDA-3613-4794-85BE-F9EA46C4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22034</Words>
  <Characters>125600</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REINTERPRETASI MAṢLAḤAH SEBAGAI METODE</vt:lpstr>
    </vt:vector>
  </TitlesOfParts>
  <Company/>
  <LinksUpToDate>false</LinksUpToDate>
  <CharactersWithSpaces>147340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REINTERPRETASI MAṢLAḤAH SEBAGAI METODE</dc:title>
  <dc:creator>Helmi</dc:creator>
  <cp:lastModifiedBy>Acer</cp:lastModifiedBy>
  <cp:revision>13</cp:revision>
  <cp:lastPrinted>2019-07-31T23:38:00Z</cp:lastPrinted>
  <dcterms:created xsi:type="dcterms:W3CDTF">2023-03-02T03:11:00Z</dcterms:created>
  <dcterms:modified xsi:type="dcterms:W3CDTF">2023-03-03T10:32:00Z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2ebbfa33-2255-31f9-9f0f-c0cdfb0b5790</vt:lpwstr>
  </property>
  <property fmtid="{D5CDD505-2E9C-101B-9397-08002B2CF9AE}" pid="24" name="Mendeley Citation Style_1">
    <vt:lpwstr>http://www.zotero.org/styles/apa</vt:lpwstr>
  </property>
</Properties>
</file>