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37FC" w14:textId="7E621A49" w:rsidR="00EB42F5" w:rsidRPr="00EB42F5" w:rsidRDefault="00EB42F5" w:rsidP="001B43BA">
      <w:pPr>
        <w:spacing w:after="0" w:line="240" w:lineRule="auto"/>
        <w:jc w:val="center"/>
        <w:rPr>
          <w:rFonts w:ascii="Cambria" w:hAnsi="Cambria"/>
          <w:b/>
          <w:noProof/>
          <w:lang w:val="id-ID"/>
        </w:rPr>
      </w:pPr>
      <w:r w:rsidRPr="00EB42F5">
        <w:rPr>
          <w:rFonts w:ascii="Cambria" w:hAnsi="Cambria"/>
          <w:b/>
          <w:noProof/>
          <w:lang w:val="id-ID"/>
        </w:rPr>
        <w:t>Pemetaan Bidang Keuangan Reksa</w:t>
      </w:r>
      <w:r w:rsidR="000A6D66">
        <w:rPr>
          <w:rFonts w:ascii="Cambria" w:hAnsi="Cambria"/>
          <w:b/>
          <w:noProof/>
          <w:lang w:val="en-US"/>
        </w:rPr>
        <w:t xml:space="preserve"> Dana</w:t>
      </w:r>
      <w:r w:rsidRPr="00EB42F5">
        <w:rPr>
          <w:rFonts w:ascii="Cambria" w:hAnsi="Cambria"/>
          <w:b/>
          <w:noProof/>
          <w:lang w:val="id-ID"/>
        </w:rPr>
        <w:t xml:space="preserve"> Syariah di Indonesia</w:t>
      </w:r>
    </w:p>
    <w:p w14:paraId="00719D69" w14:textId="77777777" w:rsidR="00EB42F5" w:rsidRPr="00A918E0" w:rsidRDefault="00EB42F5" w:rsidP="001B43BA">
      <w:pPr>
        <w:pStyle w:val="BodyText"/>
        <w:spacing w:before="6"/>
        <w:rPr>
          <w:b/>
          <w:bCs/>
          <w:sz w:val="28"/>
          <w:szCs w:val="28"/>
        </w:rPr>
      </w:pPr>
      <w:r w:rsidRPr="00A918E0">
        <w:rPr>
          <w:noProof/>
        </w:rPr>
        <mc:AlternateContent>
          <mc:Choice Requires="wps">
            <w:drawing>
              <wp:anchor distT="0" distB="0" distL="114300" distR="114300" simplePos="0" relativeHeight="251658240" behindDoc="0" locked="0" layoutInCell="1" allowOverlap="1" wp14:anchorId="45515562" wp14:editId="5C4562CC">
                <wp:simplePos x="0" y="0"/>
                <wp:positionH relativeFrom="column">
                  <wp:posOffset>1161415</wp:posOffset>
                </wp:positionH>
                <wp:positionV relativeFrom="paragraph">
                  <wp:posOffset>777240</wp:posOffset>
                </wp:positionV>
                <wp:extent cx="4445" cy="0"/>
                <wp:effectExtent l="8890" t="5715" r="5715" b="1333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E5939" id="Straight Connector 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5pt,61.2pt" to="91.8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" strokeweight=".36pt"/>
            </w:pict>
          </mc:Fallback>
        </mc:AlternateContent>
      </w:r>
      <w:bookmarkStart w:id="0" w:name="page1"/>
      <w:bookmarkEnd w:id="0"/>
    </w:p>
    <w:p w14:paraId="408979A6" w14:textId="77777777" w:rsidR="00953047" w:rsidRPr="00EB42F5" w:rsidRDefault="00953047" w:rsidP="00953047">
      <w:pPr>
        <w:spacing w:after="0" w:line="240" w:lineRule="auto"/>
        <w:jc w:val="center"/>
        <w:rPr>
          <w:rFonts w:ascii="Cambria" w:hAnsi="Cambria"/>
          <w:b/>
          <w:bCs/>
          <w:szCs w:val="24"/>
          <w:vertAlign w:val="superscript"/>
        </w:rPr>
      </w:pPr>
      <w:r w:rsidRPr="00EB42F5">
        <w:rPr>
          <w:rFonts w:ascii="Cambria" w:hAnsi="Cambria"/>
          <w:b/>
          <w:bCs/>
          <w:szCs w:val="24"/>
        </w:rPr>
        <w:t xml:space="preserve">Rizal </w:t>
      </w:r>
      <w:proofErr w:type="spellStart"/>
      <w:r w:rsidRPr="00EB42F5">
        <w:rPr>
          <w:rFonts w:ascii="Cambria" w:hAnsi="Cambria"/>
          <w:b/>
          <w:bCs/>
          <w:szCs w:val="24"/>
        </w:rPr>
        <w:t>Ma’ruf</w:t>
      </w:r>
      <w:proofErr w:type="spellEnd"/>
      <w:r w:rsidRPr="00EB42F5">
        <w:rPr>
          <w:rFonts w:ascii="Cambria" w:hAnsi="Cambria"/>
          <w:b/>
          <w:bCs/>
          <w:szCs w:val="24"/>
        </w:rPr>
        <w:t xml:space="preserve"> </w:t>
      </w:r>
      <w:proofErr w:type="spellStart"/>
      <w:r w:rsidRPr="00EB42F5">
        <w:rPr>
          <w:rFonts w:ascii="Cambria" w:hAnsi="Cambria"/>
          <w:b/>
          <w:bCs/>
          <w:szCs w:val="24"/>
        </w:rPr>
        <w:t>Amidy</w:t>
      </w:r>
      <w:proofErr w:type="spellEnd"/>
      <w:r w:rsidRPr="00EB42F5">
        <w:rPr>
          <w:rFonts w:ascii="Cambria" w:hAnsi="Cambria"/>
          <w:b/>
          <w:bCs/>
          <w:szCs w:val="24"/>
        </w:rPr>
        <w:t xml:space="preserve"> Siregar</w:t>
      </w:r>
      <w:r w:rsidRPr="00EB42F5">
        <w:rPr>
          <w:rFonts w:ascii="Cambria" w:hAnsi="Cambria"/>
          <w:b/>
          <w:bCs/>
          <w:szCs w:val="24"/>
          <w:vertAlign w:val="superscript"/>
        </w:rPr>
        <w:t>1</w:t>
      </w:r>
      <w:r w:rsidRPr="00EB42F5">
        <w:rPr>
          <w:rFonts w:ascii="Cambria" w:hAnsi="Cambria"/>
          <w:b/>
          <w:szCs w:val="24"/>
        </w:rPr>
        <w:t xml:space="preserve">, </w:t>
      </w:r>
      <w:proofErr w:type="spellStart"/>
      <w:r w:rsidRPr="00EB42F5">
        <w:rPr>
          <w:rFonts w:ascii="Cambria" w:hAnsi="Cambria"/>
          <w:b/>
          <w:szCs w:val="24"/>
        </w:rPr>
        <w:t>Utari</w:t>
      </w:r>
      <w:proofErr w:type="spellEnd"/>
      <w:r w:rsidRPr="00EB42F5">
        <w:rPr>
          <w:rFonts w:ascii="Cambria" w:hAnsi="Cambria"/>
          <w:b/>
          <w:szCs w:val="24"/>
        </w:rPr>
        <w:t xml:space="preserve"> Evy Cahyani</w:t>
      </w:r>
      <w:r w:rsidRPr="00EB42F5">
        <w:rPr>
          <w:rFonts w:ascii="Cambria" w:hAnsi="Cambria"/>
          <w:b/>
          <w:szCs w:val="24"/>
          <w:vertAlign w:val="superscript"/>
        </w:rPr>
        <w:t>2</w:t>
      </w:r>
      <w:r w:rsidRPr="00EB42F5">
        <w:rPr>
          <w:rFonts w:ascii="Cambria" w:hAnsi="Cambria"/>
          <w:b/>
          <w:szCs w:val="24"/>
        </w:rPr>
        <w:t xml:space="preserve">, </w:t>
      </w:r>
      <w:r w:rsidRPr="00EB42F5">
        <w:rPr>
          <w:rFonts w:ascii="Cambria" w:hAnsi="Cambria"/>
          <w:b/>
          <w:bCs/>
          <w:szCs w:val="24"/>
        </w:rPr>
        <w:t xml:space="preserve">and </w:t>
      </w:r>
      <w:proofErr w:type="spellStart"/>
      <w:r w:rsidRPr="00EB42F5">
        <w:rPr>
          <w:rFonts w:ascii="Cambria" w:hAnsi="Cambria"/>
          <w:b/>
          <w:bCs/>
          <w:szCs w:val="24"/>
        </w:rPr>
        <w:t>Dia</w:t>
      </w:r>
      <w:proofErr w:type="spellEnd"/>
      <w:r w:rsidRPr="00EB42F5">
        <w:rPr>
          <w:rFonts w:ascii="Cambria" w:hAnsi="Cambria"/>
          <w:b/>
          <w:bCs/>
          <w:szCs w:val="24"/>
        </w:rPr>
        <w:t xml:space="preserve"> </w:t>
      </w:r>
      <w:proofErr w:type="spellStart"/>
      <w:r w:rsidRPr="00EB42F5">
        <w:rPr>
          <w:rFonts w:ascii="Cambria" w:hAnsi="Cambria"/>
          <w:b/>
          <w:bCs/>
          <w:szCs w:val="24"/>
        </w:rPr>
        <w:t>Purnama</w:t>
      </w:r>
      <w:proofErr w:type="spellEnd"/>
      <w:r w:rsidRPr="00EB42F5">
        <w:rPr>
          <w:rFonts w:ascii="Cambria" w:hAnsi="Cambria"/>
          <w:b/>
          <w:bCs/>
          <w:szCs w:val="24"/>
        </w:rPr>
        <w:t xml:space="preserve"> Sari</w:t>
      </w:r>
      <w:r w:rsidRPr="00EB42F5">
        <w:rPr>
          <w:rFonts w:ascii="Cambria" w:hAnsi="Cambria"/>
          <w:b/>
          <w:bCs/>
          <w:szCs w:val="24"/>
          <w:vertAlign w:val="superscript"/>
        </w:rPr>
        <w:t>3</w:t>
      </w:r>
    </w:p>
    <w:p w14:paraId="750C9D88" w14:textId="77777777" w:rsidR="00953047" w:rsidRPr="00EB42F5" w:rsidRDefault="00953047" w:rsidP="00953047">
      <w:pPr>
        <w:tabs>
          <w:tab w:val="center" w:pos="4680"/>
          <w:tab w:val="left" w:pos="6300"/>
          <w:tab w:val="left" w:pos="7160"/>
          <w:tab w:val="left" w:pos="7663"/>
        </w:tabs>
        <w:spacing w:after="0" w:line="240" w:lineRule="auto"/>
        <w:jc w:val="center"/>
        <w:rPr>
          <w:rFonts w:ascii="Cambria" w:hAnsi="Cambria"/>
          <w:bCs/>
          <w:vertAlign w:val="superscript"/>
        </w:rPr>
      </w:pPr>
    </w:p>
    <w:p w14:paraId="00046E82" w14:textId="77777777" w:rsidR="00953047" w:rsidRDefault="00953047" w:rsidP="00953047">
      <w:pPr>
        <w:tabs>
          <w:tab w:val="center" w:pos="4680"/>
          <w:tab w:val="left" w:pos="6300"/>
          <w:tab w:val="left" w:pos="7160"/>
          <w:tab w:val="left" w:pos="7663"/>
        </w:tabs>
        <w:spacing w:after="0" w:line="240" w:lineRule="auto"/>
        <w:jc w:val="center"/>
        <w:rPr>
          <w:rStyle w:val="AffiliationsChar"/>
          <w:rFonts w:ascii="Cambria" w:hAnsi="Cambria"/>
          <w:i/>
          <w:iCs/>
          <w:noProof/>
          <w:sz w:val="22"/>
        </w:rPr>
      </w:pPr>
      <w:r w:rsidRPr="00EB42F5">
        <w:rPr>
          <w:rFonts w:ascii="Cambria" w:hAnsi="Cambria"/>
          <w:bCs/>
          <w:i/>
          <w:iCs/>
          <w:vertAlign w:val="superscript"/>
        </w:rPr>
        <w:t>1,2</w:t>
      </w:r>
      <w:r w:rsidRPr="00EB42F5">
        <w:rPr>
          <w:rFonts w:ascii="Cambria" w:hAnsi="Cambria"/>
          <w:bCs/>
          <w:i/>
          <w:iCs/>
        </w:rPr>
        <w:t xml:space="preserve"> </w:t>
      </w:r>
      <w:proofErr w:type="spellStart"/>
      <w:r w:rsidRPr="00EB42F5">
        <w:rPr>
          <w:rFonts w:ascii="Cambria" w:hAnsi="Cambria"/>
          <w:bCs/>
          <w:i/>
          <w:iCs/>
        </w:rPr>
        <w:t>Departement</w:t>
      </w:r>
      <w:proofErr w:type="spellEnd"/>
      <w:r w:rsidRPr="00EB42F5">
        <w:rPr>
          <w:rFonts w:ascii="Cambria" w:hAnsi="Cambria"/>
          <w:bCs/>
          <w:i/>
          <w:iCs/>
        </w:rPr>
        <w:t xml:space="preserve"> Sharia Economics, Faculty of</w:t>
      </w:r>
      <w:r w:rsidRPr="00EB42F5">
        <w:rPr>
          <w:rFonts w:ascii="Cambria" w:hAnsi="Cambria"/>
          <w:bCs/>
          <w:i/>
          <w:iCs/>
          <w:lang w:val="id-ID"/>
        </w:rPr>
        <w:t xml:space="preserve"> Islamic Business and</w:t>
      </w:r>
      <w:r w:rsidRPr="00EB42F5">
        <w:rPr>
          <w:rFonts w:ascii="Cambria" w:hAnsi="Cambria"/>
          <w:bCs/>
          <w:i/>
          <w:iCs/>
        </w:rPr>
        <w:t xml:space="preserve"> Economics, </w:t>
      </w:r>
      <w:r w:rsidRPr="00EB42F5">
        <w:rPr>
          <w:rStyle w:val="AffiliationsChar"/>
          <w:rFonts w:ascii="Cambria" w:hAnsi="Cambria"/>
          <w:i/>
          <w:iCs/>
          <w:sz w:val="22"/>
        </w:rPr>
        <w:t xml:space="preserve">UIN </w:t>
      </w:r>
      <w:proofErr w:type="spellStart"/>
      <w:r w:rsidRPr="00EB42F5">
        <w:rPr>
          <w:rStyle w:val="AffiliationsChar"/>
          <w:rFonts w:ascii="Cambria" w:hAnsi="Cambria"/>
          <w:i/>
          <w:iCs/>
          <w:sz w:val="22"/>
        </w:rPr>
        <w:t>Syeh</w:t>
      </w:r>
      <w:proofErr w:type="spellEnd"/>
      <w:r w:rsidRPr="00EB42F5">
        <w:rPr>
          <w:rStyle w:val="AffiliationsChar"/>
          <w:rFonts w:ascii="Cambria" w:hAnsi="Cambria"/>
          <w:i/>
          <w:iCs/>
          <w:sz w:val="22"/>
        </w:rPr>
        <w:t xml:space="preserve"> Ali Hasan Ahmad </w:t>
      </w:r>
      <w:proofErr w:type="spellStart"/>
      <w:r w:rsidRPr="00EB42F5">
        <w:rPr>
          <w:rStyle w:val="AffiliationsChar"/>
          <w:rFonts w:ascii="Cambria" w:hAnsi="Cambria"/>
          <w:i/>
          <w:iCs/>
          <w:sz w:val="22"/>
        </w:rPr>
        <w:t>Addary</w:t>
      </w:r>
      <w:proofErr w:type="spellEnd"/>
      <w:r w:rsidRPr="00EB42F5">
        <w:rPr>
          <w:rStyle w:val="AffiliationsChar"/>
          <w:rFonts w:ascii="Cambria" w:hAnsi="Cambria"/>
          <w:i/>
          <w:iCs/>
          <w:sz w:val="22"/>
        </w:rPr>
        <w:t xml:space="preserve"> </w:t>
      </w:r>
      <w:proofErr w:type="spellStart"/>
      <w:r w:rsidRPr="00EB42F5">
        <w:rPr>
          <w:rStyle w:val="AffiliationsChar"/>
          <w:rFonts w:ascii="Cambria" w:hAnsi="Cambria"/>
          <w:i/>
          <w:iCs/>
          <w:sz w:val="22"/>
        </w:rPr>
        <w:t>Padangsidimpuan</w:t>
      </w:r>
      <w:proofErr w:type="spellEnd"/>
      <w:r w:rsidRPr="00EB42F5">
        <w:rPr>
          <w:rFonts w:ascii="Cambria" w:hAnsi="Cambria"/>
          <w:bCs/>
          <w:i/>
          <w:iCs/>
        </w:rPr>
        <w:t>, Indonesia,</w:t>
      </w:r>
      <w:r w:rsidRPr="00EB42F5">
        <w:rPr>
          <w:rStyle w:val="AffiliationsChar"/>
          <w:rFonts w:ascii="Cambria" w:hAnsi="Cambria"/>
          <w:i/>
          <w:iCs/>
          <w:noProof/>
          <w:sz w:val="22"/>
        </w:rPr>
        <w:t xml:space="preserve"> </w:t>
      </w:r>
    </w:p>
    <w:p w14:paraId="45102DB2" w14:textId="77777777" w:rsidR="00953047" w:rsidRPr="00800C8E" w:rsidRDefault="00953047" w:rsidP="00953047">
      <w:pPr>
        <w:tabs>
          <w:tab w:val="center" w:pos="4680"/>
          <w:tab w:val="left" w:pos="6300"/>
          <w:tab w:val="left" w:pos="7160"/>
          <w:tab w:val="left" w:pos="7663"/>
        </w:tabs>
        <w:spacing w:after="0" w:line="240" w:lineRule="auto"/>
        <w:jc w:val="center"/>
        <w:rPr>
          <w:rFonts w:ascii="Cambria" w:hAnsi="Cambria"/>
          <w:bCs/>
          <w:sz w:val="22"/>
        </w:rPr>
      </w:pPr>
      <w:r w:rsidRPr="00EB42F5">
        <w:rPr>
          <w:rFonts w:ascii="Cambria" w:hAnsi="Cambria"/>
          <w:bCs/>
          <w:i/>
          <w:iCs/>
          <w:vertAlign w:val="superscript"/>
        </w:rPr>
        <w:t>3</w:t>
      </w:r>
      <w:r w:rsidRPr="00EB42F5">
        <w:rPr>
          <w:rFonts w:ascii="Cambria" w:hAnsi="Cambria"/>
          <w:bCs/>
          <w:i/>
          <w:iCs/>
        </w:rPr>
        <w:t xml:space="preserve"> Magister Sharia Economics Student, </w:t>
      </w:r>
      <w:r w:rsidRPr="00EB42F5">
        <w:rPr>
          <w:rStyle w:val="AffiliationsChar"/>
          <w:rFonts w:ascii="Cambria" w:hAnsi="Cambria"/>
          <w:i/>
          <w:iCs/>
          <w:sz w:val="22"/>
        </w:rPr>
        <w:t xml:space="preserve">UIN </w:t>
      </w:r>
      <w:proofErr w:type="spellStart"/>
      <w:r w:rsidRPr="00EB42F5">
        <w:rPr>
          <w:rStyle w:val="AffiliationsChar"/>
          <w:rFonts w:ascii="Cambria" w:hAnsi="Cambria"/>
          <w:i/>
          <w:iCs/>
          <w:sz w:val="22"/>
        </w:rPr>
        <w:t>Sunan</w:t>
      </w:r>
      <w:proofErr w:type="spellEnd"/>
      <w:r w:rsidRPr="00EB42F5">
        <w:rPr>
          <w:rStyle w:val="AffiliationsChar"/>
          <w:rFonts w:ascii="Cambria" w:hAnsi="Cambria"/>
          <w:i/>
          <w:iCs/>
          <w:sz w:val="22"/>
        </w:rPr>
        <w:t xml:space="preserve"> </w:t>
      </w:r>
      <w:proofErr w:type="spellStart"/>
      <w:r w:rsidRPr="00EB42F5">
        <w:rPr>
          <w:rStyle w:val="AffiliationsChar"/>
          <w:rFonts w:ascii="Cambria" w:hAnsi="Cambria"/>
          <w:i/>
          <w:iCs/>
          <w:sz w:val="22"/>
        </w:rPr>
        <w:t>Kalijaga</w:t>
      </w:r>
      <w:proofErr w:type="spellEnd"/>
      <w:r w:rsidRPr="00EB42F5">
        <w:rPr>
          <w:rStyle w:val="AffiliationsChar"/>
          <w:rFonts w:ascii="Cambria" w:hAnsi="Cambria"/>
          <w:i/>
          <w:iCs/>
          <w:sz w:val="22"/>
        </w:rPr>
        <w:t xml:space="preserve"> Yogyakarta, Indonesia</w:t>
      </w:r>
    </w:p>
    <w:p w14:paraId="18B5CF8C" w14:textId="77777777" w:rsidR="00953047" w:rsidRPr="00EB42F5" w:rsidRDefault="00953047" w:rsidP="00953047">
      <w:pPr>
        <w:spacing w:after="0" w:line="240" w:lineRule="auto"/>
        <w:jc w:val="center"/>
        <w:rPr>
          <w:rFonts w:ascii="Cambria" w:hAnsi="Cambria"/>
        </w:rPr>
      </w:pPr>
      <w:r w:rsidRPr="00EB42F5">
        <w:rPr>
          <w:rFonts w:ascii="Cambria" w:hAnsi="Cambria"/>
        </w:rPr>
        <w:t xml:space="preserve">email: </w:t>
      </w:r>
      <w:hyperlink r:id="rId8" w:history="1">
        <w:r w:rsidRPr="00EB42F5">
          <w:rPr>
            <w:rStyle w:val="Hyperlink"/>
            <w:rFonts w:ascii="Cambria" w:eastAsiaTheme="majorEastAsia" w:hAnsi="Cambria"/>
          </w:rPr>
          <w:t>rizalma@iain-padangsidimpuan.ac.id</w:t>
        </w:r>
      </w:hyperlink>
    </w:p>
    <w:p w14:paraId="11E7F2F2" w14:textId="77777777" w:rsidR="00953047" w:rsidRPr="00EB42F5" w:rsidRDefault="00953047" w:rsidP="00953047">
      <w:pPr>
        <w:spacing w:after="0" w:line="240" w:lineRule="auto"/>
        <w:ind w:right="127"/>
        <w:jc w:val="center"/>
        <w:rPr>
          <w:rFonts w:ascii="Cambria" w:hAnsi="Cambria"/>
          <w:bCs/>
          <w:noProof/>
        </w:rPr>
      </w:pPr>
    </w:p>
    <w:p w14:paraId="0A5FF387" w14:textId="77777777" w:rsidR="00953047" w:rsidRPr="0031249E" w:rsidRDefault="00953047" w:rsidP="00953047">
      <w:pPr>
        <w:spacing w:line="240" w:lineRule="auto"/>
        <w:jc w:val="left"/>
        <w:rPr>
          <w:rFonts w:ascii="Cambria" w:hAnsi="Cambria"/>
          <w:b/>
          <w:noProof/>
          <w:szCs w:val="24"/>
        </w:rPr>
      </w:pPr>
      <w:r w:rsidRPr="0031249E">
        <w:rPr>
          <w:rFonts w:ascii="Cambria" w:hAnsi="Cambria"/>
          <w:b/>
          <w:noProof/>
          <w:szCs w:val="24"/>
        </w:rPr>
        <w:t xml:space="preserve">Abstrak </w:t>
      </w:r>
    </w:p>
    <w:p w14:paraId="1E0E2BB5" w14:textId="77777777" w:rsidR="00953047" w:rsidRPr="0031249E" w:rsidRDefault="00953047" w:rsidP="00953047">
      <w:pPr>
        <w:spacing w:after="161" w:line="240" w:lineRule="auto"/>
        <w:ind w:left="-5"/>
        <w:rPr>
          <w:rFonts w:ascii="Cambria" w:hAnsi="Cambria"/>
          <w:iCs/>
          <w:noProof/>
          <w:szCs w:val="24"/>
          <w:lang w:val="en-US"/>
        </w:rPr>
      </w:pPr>
      <w:proofErr w:type="spellStart"/>
      <w:r w:rsidRPr="0031249E">
        <w:rPr>
          <w:rFonts w:ascii="Cambria" w:hAnsi="Cambria"/>
          <w:szCs w:val="24"/>
        </w:rPr>
        <w:t>Penelitian</w:t>
      </w:r>
      <w:proofErr w:type="spellEnd"/>
      <w:r w:rsidRPr="0031249E">
        <w:rPr>
          <w:rFonts w:ascii="Cambria" w:hAnsi="Cambria"/>
          <w:szCs w:val="24"/>
        </w:rPr>
        <w:t xml:space="preserve"> </w:t>
      </w:r>
      <w:proofErr w:type="spellStart"/>
      <w:r w:rsidRPr="0031249E">
        <w:rPr>
          <w:rFonts w:ascii="Cambria" w:hAnsi="Cambria"/>
          <w:szCs w:val="24"/>
        </w:rPr>
        <w:t>ini</w:t>
      </w:r>
      <w:proofErr w:type="spellEnd"/>
      <w:r w:rsidRPr="0031249E">
        <w:rPr>
          <w:rFonts w:ascii="Cambria" w:hAnsi="Cambria"/>
          <w:szCs w:val="24"/>
        </w:rPr>
        <w:t xml:space="preserve"> </w:t>
      </w:r>
      <w:proofErr w:type="spellStart"/>
      <w:r w:rsidRPr="0031249E">
        <w:rPr>
          <w:rFonts w:ascii="Cambria" w:hAnsi="Cambria"/>
          <w:szCs w:val="24"/>
        </w:rPr>
        <w:t>bertujuan</w:t>
      </w:r>
      <w:proofErr w:type="spellEnd"/>
      <w:r w:rsidRPr="0031249E">
        <w:rPr>
          <w:rFonts w:ascii="Cambria" w:hAnsi="Cambria"/>
          <w:szCs w:val="24"/>
        </w:rPr>
        <w:t xml:space="preserve"> </w:t>
      </w:r>
      <w:proofErr w:type="spellStart"/>
      <w:r w:rsidRPr="0031249E">
        <w:rPr>
          <w:rFonts w:ascii="Cambria" w:hAnsi="Cambria"/>
          <w:szCs w:val="24"/>
        </w:rPr>
        <w:t>untuk</w:t>
      </w:r>
      <w:proofErr w:type="spellEnd"/>
      <w:r w:rsidRPr="0031249E">
        <w:rPr>
          <w:rFonts w:ascii="Cambria" w:hAnsi="Cambria"/>
          <w:szCs w:val="24"/>
        </w:rPr>
        <w:t xml:space="preserve"> </w:t>
      </w:r>
      <w:proofErr w:type="spellStart"/>
      <w:r w:rsidRPr="0031249E">
        <w:rPr>
          <w:rFonts w:ascii="Cambria" w:hAnsi="Cambria"/>
          <w:szCs w:val="24"/>
        </w:rPr>
        <w:t>mengeksplorasi</w:t>
      </w:r>
      <w:proofErr w:type="spellEnd"/>
      <w:r w:rsidRPr="0031249E">
        <w:rPr>
          <w:rFonts w:ascii="Cambria" w:hAnsi="Cambria"/>
          <w:szCs w:val="24"/>
        </w:rPr>
        <w:t xml:space="preserve"> </w:t>
      </w:r>
      <w:proofErr w:type="spellStart"/>
      <w:r w:rsidRPr="0031249E">
        <w:rPr>
          <w:rFonts w:ascii="Cambria" w:hAnsi="Cambria"/>
          <w:szCs w:val="24"/>
        </w:rPr>
        <w:t>literatur</w:t>
      </w:r>
      <w:proofErr w:type="spellEnd"/>
      <w:r w:rsidRPr="0031249E">
        <w:rPr>
          <w:rFonts w:ascii="Cambria" w:hAnsi="Cambria"/>
          <w:szCs w:val="24"/>
        </w:rPr>
        <w:t xml:space="preserve"> yang </w:t>
      </w:r>
      <w:proofErr w:type="spellStart"/>
      <w:r w:rsidRPr="0031249E">
        <w:rPr>
          <w:rFonts w:ascii="Cambria" w:hAnsi="Cambria"/>
          <w:szCs w:val="24"/>
        </w:rPr>
        <w:t>komprehensif</w:t>
      </w:r>
      <w:proofErr w:type="spellEnd"/>
      <w:r w:rsidRPr="0031249E">
        <w:rPr>
          <w:rFonts w:ascii="Cambria" w:hAnsi="Cambria"/>
          <w:szCs w:val="24"/>
        </w:rPr>
        <w:t xml:space="preserve"> </w:t>
      </w:r>
      <w:proofErr w:type="spellStart"/>
      <w:r w:rsidRPr="0031249E">
        <w:rPr>
          <w:rFonts w:ascii="Cambria" w:hAnsi="Cambria"/>
          <w:szCs w:val="24"/>
        </w:rPr>
        <w:t>tentang</w:t>
      </w:r>
      <w:proofErr w:type="spellEnd"/>
      <w:r w:rsidRPr="0031249E">
        <w:rPr>
          <w:rFonts w:ascii="Cambria" w:hAnsi="Cambria"/>
          <w:szCs w:val="24"/>
        </w:rPr>
        <w:t xml:space="preserve"> </w:t>
      </w:r>
      <w:proofErr w:type="spellStart"/>
      <w:r w:rsidRPr="0031249E">
        <w:rPr>
          <w:rFonts w:ascii="Cambria" w:hAnsi="Cambria"/>
          <w:szCs w:val="24"/>
        </w:rPr>
        <w:t>reksa</w:t>
      </w:r>
      <w:proofErr w:type="spellEnd"/>
      <w:r w:rsidRPr="0031249E">
        <w:rPr>
          <w:rFonts w:ascii="Cambria" w:hAnsi="Cambria"/>
          <w:szCs w:val="24"/>
        </w:rPr>
        <w:t xml:space="preserve"> dana syariah di Indonesia. </w:t>
      </w:r>
      <w:proofErr w:type="spellStart"/>
      <w:r w:rsidRPr="0031249E">
        <w:rPr>
          <w:rFonts w:ascii="Cambria" w:hAnsi="Cambria"/>
          <w:szCs w:val="24"/>
        </w:rPr>
        <w:t>Penelitian</w:t>
      </w:r>
      <w:proofErr w:type="spellEnd"/>
      <w:r w:rsidRPr="0031249E">
        <w:rPr>
          <w:rFonts w:ascii="Cambria" w:hAnsi="Cambria"/>
          <w:szCs w:val="24"/>
        </w:rPr>
        <w:t xml:space="preserve"> </w:t>
      </w:r>
      <w:proofErr w:type="spellStart"/>
      <w:r w:rsidRPr="0031249E">
        <w:rPr>
          <w:rFonts w:ascii="Cambria" w:hAnsi="Cambria"/>
          <w:szCs w:val="24"/>
        </w:rPr>
        <w:t>ini</w:t>
      </w:r>
      <w:proofErr w:type="spellEnd"/>
      <w:r w:rsidRPr="0031249E">
        <w:rPr>
          <w:rFonts w:ascii="Cambria" w:hAnsi="Cambria"/>
          <w:szCs w:val="24"/>
        </w:rPr>
        <w:t xml:space="preserve"> </w:t>
      </w:r>
      <w:proofErr w:type="spellStart"/>
      <w:r w:rsidRPr="0031249E">
        <w:rPr>
          <w:rFonts w:ascii="Cambria" w:hAnsi="Cambria"/>
          <w:szCs w:val="24"/>
        </w:rPr>
        <w:t>menggunakan</w:t>
      </w:r>
      <w:proofErr w:type="spellEnd"/>
      <w:r w:rsidRPr="0031249E">
        <w:rPr>
          <w:rFonts w:ascii="Cambria" w:hAnsi="Cambria"/>
          <w:szCs w:val="24"/>
        </w:rPr>
        <w:t xml:space="preserve"> </w:t>
      </w:r>
      <w:proofErr w:type="spellStart"/>
      <w:r w:rsidRPr="0031249E">
        <w:rPr>
          <w:rFonts w:ascii="Cambria" w:hAnsi="Cambria"/>
          <w:szCs w:val="24"/>
        </w:rPr>
        <w:t>pendekatan</w:t>
      </w:r>
      <w:proofErr w:type="spellEnd"/>
      <w:r w:rsidRPr="0031249E">
        <w:rPr>
          <w:rFonts w:ascii="Cambria" w:hAnsi="Cambria"/>
          <w:szCs w:val="24"/>
        </w:rPr>
        <w:t xml:space="preserve"> </w:t>
      </w:r>
      <w:proofErr w:type="spellStart"/>
      <w:r w:rsidRPr="0031249E">
        <w:rPr>
          <w:rFonts w:ascii="Cambria" w:hAnsi="Cambria"/>
          <w:szCs w:val="24"/>
        </w:rPr>
        <w:t>kualitatif</w:t>
      </w:r>
      <w:proofErr w:type="spellEnd"/>
      <w:r w:rsidRPr="0031249E">
        <w:rPr>
          <w:rFonts w:ascii="Cambria" w:hAnsi="Cambria"/>
          <w:szCs w:val="24"/>
        </w:rPr>
        <w:t xml:space="preserve"> </w:t>
      </w:r>
      <w:proofErr w:type="spellStart"/>
      <w:r w:rsidRPr="0031249E">
        <w:rPr>
          <w:rFonts w:ascii="Cambria" w:hAnsi="Cambria"/>
          <w:szCs w:val="24"/>
        </w:rPr>
        <w:t>dengan</w:t>
      </w:r>
      <w:proofErr w:type="spellEnd"/>
      <w:r w:rsidRPr="0031249E">
        <w:rPr>
          <w:rFonts w:ascii="Cambria" w:hAnsi="Cambria"/>
          <w:szCs w:val="24"/>
        </w:rPr>
        <w:t xml:space="preserve"> </w:t>
      </w:r>
      <w:proofErr w:type="spellStart"/>
      <w:r w:rsidRPr="0031249E">
        <w:rPr>
          <w:rFonts w:ascii="Cambria" w:hAnsi="Cambria"/>
          <w:szCs w:val="24"/>
        </w:rPr>
        <w:t>analisis</w:t>
      </w:r>
      <w:proofErr w:type="spellEnd"/>
      <w:r w:rsidRPr="0031249E">
        <w:rPr>
          <w:rFonts w:ascii="Cambria" w:hAnsi="Cambria"/>
          <w:szCs w:val="24"/>
        </w:rPr>
        <w:t xml:space="preserve"> </w:t>
      </w:r>
      <w:proofErr w:type="spellStart"/>
      <w:r w:rsidRPr="0031249E">
        <w:rPr>
          <w:rFonts w:ascii="Cambria" w:hAnsi="Cambria"/>
          <w:szCs w:val="24"/>
        </w:rPr>
        <w:t>bibliometrik</w:t>
      </w:r>
      <w:proofErr w:type="spellEnd"/>
      <w:r w:rsidRPr="0031249E">
        <w:rPr>
          <w:rFonts w:ascii="Cambria" w:hAnsi="Cambria"/>
          <w:szCs w:val="24"/>
        </w:rPr>
        <w:t xml:space="preserve">. Data </w:t>
      </w:r>
      <w:proofErr w:type="spellStart"/>
      <w:r w:rsidRPr="0031249E">
        <w:rPr>
          <w:rFonts w:ascii="Cambria" w:hAnsi="Cambria"/>
          <w:szCs w:val="24"/>
        </w:rPr>
        <w:t>dalam</w:t>
      </w:r>
      <w:proofErr w:type="spellEnd"/>
      <w:r w:rsidRPr="0031249E">
        <w:rPr>
          <w:rFonts w:ascii="Cambria" w:hAnsi="Cambria"/>
          <w:szCs w:val="24"/>
        </w:rPr>
        <w:t xml:space="preserve"> </w:t>
      </w:r>
      <w:proofErr w:type="spellStart"/>
      <w:r w:rsidRPr="0031249E">
        <w:rPr>
          <w:rFonts w:ascii="Cambria" w:hAnsi="Cambria"/>
          <w:szCs w:val="24"/>
        </w:rPr>
        <w:t>penelitian</w:t>
      </w:r>
      <w:proofErr w:type="spellEnd"/>
      <w:r w:rsidRPr="0031249E">
        <w:rPr>
          <w:rFonts w:ascii="Cambria" w:hAnsi="Cambria"/>
          <w:szCs w:val="24"/>
        </w:rPr>
        <w:t xml:space="preserve"> </w:t>
      </w:r>
      <w:proofErr w:type="spellStart"/>
      <w:r w:rsidRPr="0031249E">
        <w:rPr>
          <w:rFonts w:ascii="Cambria" w:hAnsi="Cambria"/>
          <w:szCs w:val="24"/>
        </w:rPr>
        <w:t>ini</w:t>
      </w:r>
      <w:proofErr w:type="spellEnd"/>
      <w:r w:rsidRPr="0031249E">
        <w:rPr>
          <w:rFonts w:ascii="Cambria" w:hAnsi="Cambria"/>
          <w:szCs w:val="24"/>
        </w:rPr>
        <w:t xml:space="preserve"> </w:t>
      </w:r>
      <w:proofErr w:type="spellStart"/>
      <w:r w:rsidRPr="0031249E">
        <w:rPr>
          <w:rFonts w:ascii="Cambria" w:hAnsi="Cambria"/>
          <w:szCs w:val="24"/>
        </w:rPr>
        <w:t>dikumpulkan</w:t>
      </w:r>
      <w:proofErr w:type="spellEnd"/>
      <w:r w:rsidRPr="0031249E">
        <w:rPr>
          <w:rFonts w:ascii="Cambria" w:hAnsi="Cambria"/>
          <w:szCs w:val="24"/>
        </w:rPr>
        <w:t xml:space="preserve"> </w:t>
      </w:r>
      <w:proofErr w:type="spellStart"/>
      <w:r w:rsidRPr="0031249E">
        <w:rPr>
          <w:rFonts w:ascii="Cambria" w:hAnsi="Cambria"/>
          <w:szCs w:val="24"/>
        </w:rPr>
        <w:t>dari</w:t>
      </w:r>
      <w:proofErr w:type="spellEnd"/>
      <w:r w:rsidRPr="0031249E">
        <w:rPr>
          <w:rFonts w:ascii="Cambria" w:hAnsi="Cambria"/>
          <w:szCs w:val="24"/>
        </w:rPr>
        <w:t xml:space="preserve"> database Dimensions.ai. Kata </w:t>
      </w:r>
      <w:proofErr w:type="spellStart"/>
      <w:r w:rsidRPr="0031249E">
        <w:rPr>
          <w:rFonts w:ascii="Cambria" w:hAnsi="Cambria"/>
          <w:szCs w:val="24"/>
        </w:rPr>
        <w:t>kunci</w:t>
      </w:r>
      <w:proofErr w:type="spellEnd"/>
      <w:r w:rsidRPr="0031249E">
        <w:rPr>
          <w:rFonts w:ascii="Cambria" w:hAnsi="Cambria"/>
          <w:szCs w:val="24"/>
        </w:rPr>
        <w:t xml:space="preserve"> yang </w:t>
      </w:r>
      <w:proofErr w:type="spellStart"/>
      <w:r w:rsidRPr="0031249E">
        <w:rPr>
          <w:rFonts w:ascii="Cambria" w:hAnsi="Cambria"/>
          <w:szCs w:val="24"/>
        </w:rPr>
        <w:t>digunakan</w:t>
      </w:r>
      <w:proofErr w:type="spellEnd"/>
      <w:r w:rsidRPr="0031249E">
        <w:rPr>
          <w:rFonts w:ascii="Cambria" w:hAnsi="Cambria"/>
          <w:szCs w:val="24"/>
        </w:rPr>
        <w:t xml:space="preserve"> </w:t>
      </w:r>
      <w:proofErr w:type="spellStart"/>
      <w:r w:rsidRPr="0031249E">
        <w:rPr>
          <w:rFonts w:ascii="Cambria" w:hAnsi="Cambria"/>
          <w:szCs w:val="24"/>
        </w:rPr>
        <w:t>dalam</w:t>
      </w:r>
      <w:proofErr w:type="spellEnd"/>
      <w:r w:rsidRPr="0031249E">
        <w:rPr>
          <w:rFonts w:ascii="Cambria" w:hAnsi="Cambria"/>
          <w:szCs w:val="24"/>
        </w:rPr>
        <w:t xml:space="preserve"> </w:t>
      </w:r>
      <w:proofErr w:type="spellStart"/>
      <w:r w:rsidRPr="0031249E">
        <w:rPr>
          <w:rFonts w:ascii="Cambria" w:hAnsi="Cambria"/>
          <w:szCs w:val="24"/>
        </w:rPr>
        <w:t>pencarian</w:t>
      </w:r>
      <w:proofErr w:type="spellEnd"/>
      <w:r w:rsidRPr="0031249E">
        <w:rPr>
          <w:rFonts w:ascii="Cambria" w:hAnsi="Cambria"/>
          <w:szCs w:val="24"/>
        </w:rPr>
        <w:t xml:space="preserve"> data </w:t>
      </w:r>
      <w:proofErr w:type="spellStart"/>
      <w:r w:rsidRPr="0031249E">
        <w:rPr>
          <w:rFonts w:ascii="Cambria" w:hAnsi="Cambria"/>
          <w:szCs w:val="24"/>
        </w:rPr>
        <w:t>adalah</w:t>
      </w:r>
      <w:proofErr w:type="spellEnd"/>
      <w:r w:rsidRPr="0031249E">
        <w:rPr>
          <w:rFonts w:ascii="Cambria" w:hAnsi="Cambria"/>
          <w:szCs w:val="24"/>
        </w:rPr>
        <w:t xml:space="preserve"> “Islamic mutual funds” DAN “Indonesia.” </w:t>
      </w:r>
      <w:proofErr w:type="spellStart"/>
      <w:r w:rsidRPr="0031249E">
        <w:rPr>
          <w:rFonts w:ascii="Cambria" w:hAnsi="Cambria"/>
          <w:szCs w:val="24"/>
        </w:rPr>
        <w:t>Penelitian</w:t>
      </w:r>
      <w:proofErr w:type="spellEnd"/>
      <w:r w:rsidRPr="0031249E">
        <w:rPr>
          <w:rFonts w:ascii="Cambria" w:hAnsi="Cambria"/>
          <w:szCs w:val="24"/>
        </w:rPr>
        <w:t xml:space="preserve"> </w:t>
      </w:r>
      <w:proofErr w:type="spellStart"/>
      <w:r w:rsidRPr="0031249E">
        <w:rPr>
          <w:rFonts w:ascii="Cambria" w:hAnsi="Cambria"/>
          <w:szCs w:val="24"/>
        </w:rPr>
        <w:t>ini</w:t>
      </w:r>
      <w:proofErr w:type="spellEnd"/>
      <w:r w:rsidRPr="0031249E">
        <w:rPr>
          <w:rFonts w:ascii="Cambria" w:hAnsi="Cambria"/>
          <w:szCs w:val="24"/>
        </w:rPr>
        <w:t xml:space="preserve"> </w:t>
      </w:r>
      <w:proofErr w:type="spellStart"/>
      <w:r w:rsidRPr="0031249E">
        <w:rPr>
          <w:rFonts w:ascii="Cambria" w:hAnsi="Cambria"/>
          <w:szCs w:val="24"/>
        </w:rPr>
        <w:t>menggunakan</w:t>
      </w:r>
      <w:proofErr w:type="spellEnd"/>
      <w:r w:rsidRPr="0031249E">
        <w:rPr>
          <w:rFonts w:ascii="Cambria" w:hAnsi="Cambria"/>
          <w:szCs w:val="24"/>
        </w:rPr>
        <w:t xml:space="preserve"> 101 </w:t>
      </w:r>
      <w:proofErr w:type="spellStart"/>
      <w:r w:rsidRPr="0031249E">
        <w:rPr>
          <w:rFonts w:ascii="Cambria" w:hAnsi="Cambria"/>
          <w:szCs w:val="24"/>
        </w:rPr>
        <w:t>publikasi</w:t>
      </w:r>
      <w:proofErr w:type="spellEnd"/>
      <w:r w:rsidRPr="0031249E">
        <w:rPr>
          <w:rFonts w:ascii="Cambria" w:hAnsi="Cambria"/>
          <w:szCs w:val="24"/>
        </w:rPr>
        <w:t xml:space="preserve"> yang </w:t>
      </w:r>
      <w:proofErr w:type="spellStart"/>
      <w:r w:rsidRPr="0031249E">
        <w:rPr>
          <w:rFonts w:ascii="Cambria" w:hAnsi="Cambria"/>
          <w:szCs w:val="24"/>
        </w:rPr>
        <w:t>terindeks</w:t>
      </w:r>
      <w:proofErr w:type="spellEnd"/>
      <w:r w:rsidRPr="0031249E">
        <w:rPr>
          <w:rFonts w:ascii="Cambria" w:hAnsi="Cambria"/>
          <w:szCs w:val="24"/>
        </w:rPr>
        <w:t xml:space="preserve"> </w:t>
      </w:r>
      <w:proofErr w:type="spellStart"/>
      <w:r w:rsidRPr="0031249E">
        <w:rPr>
          <w:rFonts w:ascii="Cambria" w:hAnsi="Cambria"/>
          <w:szCs w:val="24"/>
        </w:rPr>
        <w:t>dalam</w:t>
      </w:r>
      <w:proofErr w:type="spellEnd"/>
      <w:r w:rsidRPr="0031249E">
        <w:rPr>
          <w:rFonts w:ascii="Cambria" w:hAnsi="Cambria"/>
          <w:szCs w:val="24"/>
        </w:rPr>
        <w:t xml:space="preserve"> database Dimensions </w:t>
      </w:r>
      <w:proofErr w:type="spellStart"/>
      <w:r w:rsidRPr="0031249E">
        <w:rPr>
          <w:rFonts w:ascii="Cambria" w:hAnsi="Cambria"/>
          <w:szCs w:val="24"/>
        </w:rPr>
        <w:t>dari</w:t>
      </w:r>
      <w:proofErr w:type="spellEnd"/>
      <w:r w:rsidRPr="0031249E">
        <w:rPr>
          <w:rFonts w:ascii="Cambria" w:hAnsi="Cambria"/>
          <w:szCs w:val="24"/>
        </w:rPr>
        <w:t xml:space="preserve"> </w:t>
      </w:r>
      <w:proofErr w:type="spellStart"/>
      <w:r w:rsidRPr="0031249E">
        <w:rPr>
          <w:rFonts w:ascii="Cambria" w:hAnsi="Cambria"/>
          <w:szCs w:val="24"/>
        </w:rPr>
        <w:t>tahun</w:t>
      </w:r>
      <w:proofErr w:type="spellEnd"/>
      <w:r w:rsidRPr="0031249E">
        <w:rPr>
          <w:rFonts w:ascii="Cambria" w:hAnsi="Cambria"/>
          <w:szCs w:val="24"/>
        </w:rPr>
        <w:t xml:space="preserve"> 2006 </w:t>
      </w:r>
      <w:proofErr w:type="spellStart"/>
      <w:r w:rsidRPr="0031249E">
        <w:rPr>
          <w:rFonts w:ascii="Cambria" w:hAnsi="Cambria"/>
          <w:szCs w:val="24"/>
        </w:rPr>
        <w:t>hingga</w:t>
      </w:r>
      <w:proofErr w:type="spellEnd"/>
      <w:r w:rsidRPr="0031249E">
        <w:rPr>
          <w:rFonts w:ascii="Cambria" w:hAnsi="Cambria"/>
          <w:szCs w:val="24"/>
        </w:rPr>
        <w:t xml:space="preserve"> 2022. </w:t>
      </w:r>
      <w:proofErr w:type="spellStart"/>
      <w:r w:rsidRPr="0031249E">
        <w:rPr>
          <w:rFonts w:ascii="Cambria" w:hAnsi="Cambria"/>
          <w:szCs w:val="24"/>
        </w:rPr>
        <w:t>Penelitian</w:t>
      </w:r>
      <w:proofErr w:type="spellEnd"/>
      <w:r w:rsidRPr="0031249E">
        <w:rPr>
          <w:rFonts w:ascii="Cambria" w:hAnsi="Cambria"/>
          <w:szCs w:val="24"/>
        </w:rPr>
        <w:t xml:space="preserve"> </w:t>
      </w:r>
      <w:proofErr w:type="spellStart"/>
      <w:r w:rsidRPr="0031249E">
        <w:rPr>
          <w:rFonts w:ascii="Cambria" w:hAnsi="Cambria"/>
          <w:szCs w:val="24"/>
        </w:rPr>
        <w:t>ini</w:t>
      </w:r>
      <w:proofErr w:type="spellEnd"/>
      <w:r w:rsidRPr="0031249E">
        <w:rPr>
          <w:rFonts w:ascii="Cambria" w:hAnsi="Cambria"/>
          <w:szCs w:val="24"/>
        </w:rPr>
        <w:t xml:space="preserve"> </w:t>
      </w:r>
      <w:proofErr w:type="spellStart"/>
      <w:r w:rsidRPr="0031249E">
        <w:rPr>
          <w:rFonts w:ascii="Cambria" w:hAnsi="Cambria"/>
          <w:szCs w:val="24"/>
        </w:rPr>
        <w:t>menggunakan</w:t>
      </w:r>
      <w:proofErr w:type="spellEnd"/>
      <w:r w:rsidRPr="0031249E">
        <w:rPr>
          <w:rFonts w:ascii="Cambria" w:hAnsi="Cambria"/>
          <w:szCs w:val="24"/>
        </w:rPr>
        <w:t xml:space="preserve"> </w:t>
      </w:r>
      <w:proofErr w:type="spellStart"/>
      <w:r w:rsidRPr="0031249E">
        <w:rPr>
          <w:rFonts w:ascii="Cambria" w:hAnsi="Cambria"/>
          <w:szCs w:val="24"/>
        </w:rPr>
        <w:t>Biblioshiny</w:t>
      </w:r>
      <w:proofErr w:type="spellEnd"/>
      <w:r w:rsidRPr="0031249E">
        <w:rPr>
          <w:rFonts w:ascii="Cambria" w:hAnsi="Cambria"/>
          <w:szCs w:val="24"/>
        </w:rPr>
        <w:t xml:space="preserve"> </w:t>
      </w:r>
      <w:proofErr w:type="spellStart"/>
      <w:r w:rsidRPr="0031249E">
        <w:rPr>
          <w:rFonts w:ascii="Cambria" w:hAnsi="Cambria"/>
          <w:szCs w:val="24"/>
        </w:rPr>
        <w:t>berbasis</w:t>
      </w:r>
      <w:proofErr w:type="spellEnd"/>
      <w:r w:rsidRPr="0031249E">
        <w:rPr>
          <w:rFonts w:ascii="Cambria" w:hAnsi="Cambria"/>
          <w:szCs w:val="24"/>
        </w:rPr>
        <w:t xml:space="preserve"> RStudio </w:t>
      </w:r>
      <w:proofErr w:type="spellStart"/>
      <w:r w:rsidRPr="0031249E">
        <w:rPr>
          <w:rFonts w:ascii="Cambria" w:hAnsi="Cambria"/>
          <w:szCs w:val="24"/>
        </w:rPr>
        <w:t>untuk</w:t>
      </w:r>
      <w:proofErr w:type="spellEnd"/>
      <w:r w:rsidRPr="0031249E">
        <w:rPr>
          <w:rFonts w:ascii="Cambria" w:hAnsi="Cambria"/>
          <w:szCs w:val="24"/>
        </w:rPr>
        <w:t xml:space="preserve"> </w:t>
      </w:r>
      <w:proofErr w:type="spellStart"/>
      <w:r w:rsidRPr="0031249E">
        <w:rPr>
          <w:rFonts w:ascii="Cambria" w:hAnsi="Cambria"/>
          <w:szCs w:val="24"/>
        </w:rPr>
        <w:t>menganalisis</w:t>
      </w:r>
      <w:proofErr w:type="spellEnd"/>
      <w:r w:rsidRPr="0031249E">
        <w:rPr>
          <w:rFonts w:ascii="Cambria" w:hAnsi="Cambria"/>
          <w:szCs w:val="24"/>
        </w:rPr>
        <w:t xml:space="preserve"> data. Hasil </w:t>
      </w:r>
      <w:proofErr w:type="spellStart"/>
      <w:r w:rsidRPr="0031249E">
        <w:rPr>
          <w:rFonts w:ascii="Cambria" w:hAnsi="Cambria"/>
          <w:szCs w:val="24"/>
        </w:rPr>
        <w:t>penelitian</w:t>
      </w:r>
      <w:proofErr w:type="spellEnd"/>
      <w:r w:rsidRPr="0031249E">
        <w:rPr>
          <w:rFonts w:ascii="Cambria" w:hAnsi="Cambria"/>
          <w:szCs w:val="24"/>
        </w:rPr>
        <w:t xml:space="preserve"> </w:t>
      </w:r>
      <w:proofErr w:type="spellStart"/>
      <w:r w:rsidRPr="0031249E">
        <w:rPr>
          <w:rFonts w:ascii="Cambria" w:hAnsi="Cambria"/>
          <w:szCs w:val="24"/>
        </w:rPr>
        <w:t>mengidentifikasi</w:t>
      </w:r>
      <w:proofErr w:type="spellEnd"/>
      <w:r w:rsidRPr="0031249E">
        <w:rPr>
          <w:rFonts w:ascii="Cambria" w:hAnsi="Cambria"/>
          <w:szCs w:val="24"/>
        </w:rPr>
        <w:t xml:space="preserve"> </w:t>
      </w:r>
      <w:proofErr w:type="spellStart"/>
      <w:r w:rsidRPr="0031249E">
        <w:rPr>
          <w:rFonts w:ascii="Cambria" w:hAnsi="Cambria"/>
          <w:szCs w:val="24"/>
        </w:rPr>
        <w:t>penulis</w:t>
      </w:r>
      <w:proofErr w:type="spellEnd"/>
      <w:r w:rsidRPr="0031249E">
        <w:rPr>
          <w:rFonts w:ascii="Cambria" w:hAnsi="Cambria"/>
          <w:szCs w:val="24"/>
        </w:rPr>
        <w:t xml:space="preserve"> </w:t>
      </w:r>
      <w:proofErr w:type="spellStart"/>
      <w:r w:rsidRPr="0031249E">
        <w:rPr>
          <w:rFonts w:ascii="Cambria" w:hAnsi="Cambria"/>
          <w:szCs w:val="24"/>
        </w:rPr>
        <w:t>akademis</w:t>
      </w:r>
      <w:proofErr w:type="spellEnd"/>
      <w:r w:rsidRPr="0031249E">
        <w:rPr>
          <w:rFonts w:ascii="Cambria" w:hAnsi="Cambria"/>
          <w:szCs w:val="24"/>
        </w:rPr>
        <w:t xml:space="preserve">, </w:t>
      </w:r>
      <w:proofErr w:type="spellStart"/>
      <w:r w:rsidRPr="0031249E">
        <w:rPr>
          <w:rFonts w:ascii="Cambria" w:hAnsi="Cambria"/>
          <w:szCs w:val="24"/>
        </w:rPr>
        <w:t>jurnal</w:t>
      </w:r>
      <w:proofErr w:type="spellEnd"/>
      <w:r w:rsidRPr="0031249E">
        <w:rPr>
          <w:rFonts w:ascii="Cambria" w:hAnsi="Cambria"/>
          <w:szCs w:val="24"/>
        </w:rPr>
        <w:t xml:space="preserve">, dan </w:t>
      </w:r>
      <w:proofErr w:type="spellStart"/>
      <w:r w:rsidRPr="0031249E">
        <w:rPr>
          <w:rFonts w:ascii="Cambria" w:hAnsi="Cambria"/>
          <w:szCs w:val="24"/>
        </w:rPr>
        <w:t>institusi</w:t>
      </w:r>
      <w:proofErr w:type="spellEnd"/>
      <w:r w:rsidRPr="0031249E">
        <w:rPr>
          <w:rFonts w:ascii="Cambria" w:hAnsi="Cambria"/>
          <w:szCs w:val="24"/>
        </w:rPr>
        <w:t xml:space="preserve"> </w:t>
      </w:r>
      <w:proofErr w:type="spellStart"/>
      <w:r w:rsidRPr="0031249E">
        <w:rPr>
          <w:rFonts w:ascii="Cambria" w:hAnsi="Cambria"/>
          <w:szCs w:val="24"/>
        </w:rPr>
        <w:t>terkemuka</w:t>
      </w:r>
      <w:proofErr w:type="spellEnd"/>
      <w:r w:rsidRPr="0031249E">
        <w:rPr>
          <w:rFonts w:ascii="Cambria" w:hAnsi="Cambria"/>
          <w:szCs w:val="24"/>
        </w:rPr>
        <w:t xml:space="preserve"> </w:t>
      </w:r>
      <w:proofErr w:type="spellStart"/>
      <w:r w:rsidRPr="0031249E">
        <w:rPr>
          <w:rFonts w:ascii="Cambria" w:hAnsi="Cambria"/>
          <w:szCs w:val="24"/>
        </w:rPr>
        <w:t>terkait</w:t>
      </w:r>
      <w:proofErr w:type="spellEnd"/>
      <w:r w:rsidRPr="0031249E">
        <w:rPr>
          <w:rFonts w:ascii="Cambria" w:hAnsi="Cambria"/>
          <w:szCs w:val="24"/>
        </w:rPr>
        <w:t xml:space="preserve"> </w:t>
      </w:r>
      <w:proofErr w:type="spellStart"/>
      <w:r w:rsidRPr="0031249E">
        <w:rPr>
          <w:rFonts w:ascii="Cambria" w:hAnsi="Cambria"/>
          <w:szCs w:val="24"/>
        </w:rPr>
        <w:t>reksa</w:t>
      </w:r>
      <w:proofErr w:type="spellEnd"/>
      <w:r w:rsidRPr="0031249E">
        <w:rPr>
          <w:rFonts w:ascii="Cambria" w:hAnsi="Cambria"/>
          <w:szCs w:val="24"/>
        </w:rPr>
        <w:t xml:space="preserve"> dana syariah di Indonesia. </w:t>
      </w:r>
      <w:proofErr w:type="spellStart"/>
      <w:r w:rsidRPr="0031249E">
        <w:rPr>
          <w:rFonts w:ascii="Cambria" w:hAnsi="Cambria"/>
          <w:szCs w:val="24"/>
        </w:rPr>
        <w:t>Beberapa</w:t>
      </w:r>
      <w:proofErr w:type="spellEnd"/>
      <w:r w:rsidRPr="0031249E">
        <w:rPr>
          <w:rFonts w:ascii="Cambria" w:hAnsi="Cambria"/>
          <w:szCs w:val="24"/>
        </w:rPr>
        <w:t xml:space="preserve"> </w:t>
      </w:r>
      <w:proofErr w:type="spellStart"/>
      <w:r w:rsidRPr="0031249E">
        <w:rPr>
          <w:rFonts w:ascii="Cambria" w:hAnsi="Cambria"/>
          <w:szCs w:val="24"/>
        </w:rPr>
        <w:t>topik</w:t>
      </w:r>
      <w:proofErr w:type="spellEnd"/>
      <w:r w:rsidRPr="0031249E">
        <w:rPr>
          <w:rFonts w:ascii="Cambria" w:hAnsi="Cambria"/>
          <w:szCs w:val="24"/>
        </w:rPr>
        <w:t xml:space="preserve"> dan kata </w:t>
      </w:r>
      <w:proofErr w:type="spellStart"/>
      <w:r w:rsidRPr="0031249E">
        <w:rPr>
          <w:rFonts w:ascii="Cambria" w:hAnsi="Cambria"/>
          <w:szCs w:val="24"/>
        </w:rPr>
        <w:t>kunci</w:t>
      </w:r>
      <w:proofErr w:type="spellEnd"/>
      <w:r w:rsidRPr="0031249E">
        <w:rPr>
          <w:rFonts w:ascii="Cambria" w:hAnsi="Cambria"/>
          <w:szCs w:val="24"/>
        </w:rPr>
        <w:t xml:space="preserve"> </w:t>
      </w:r>
      <w:proofErr w:type="spellStart"/>
      <w:r w:rsidRPr="0031249E">
        <w:rPr>
          <w:rFonts w:ascii="Cambria" w:hAnsi="Cambria"/>
          <w:szCs w:val="24"/>
        </w:rPr>
        <w:t>populer</w:t>
      </w:r>
      <w:proofErr w:type="spellEnd"/>
      <w:r w:rsidRPr="0031249E">
        <w:rPr>
          <w:rFonts w:ascii="Cambria" w:hAnsi="Cambria"/>
          <w:szCs w:val="24"/>
        </w:rPr>
        <w:t xml:space="preserve"> </w:t>
      </w:r>
      <w:proofErr w:type="spellStart"/>
      <w:r w:rsidRPr="0031249E">
        <w:rPr>
          <w:rFonts w:ascii="Cambria" w:hAnsi="Cambria"/>
          <w:szCs w:val="24"/>
        </w:rPr>
        <w:t>untuk</w:t>
      </w:r>
      <w:proofErr w:type="spellEnd"/>
      <w:r w:rsidRPr="0031249E">
        <w:rPr>
          <w:rFonts w:ascii="Cambria" w:hAnsi="Cambria"/>
          <w:szCs w:val="24"/>
        </w:rPr>
        <w:t xml:space="preserve"> </w:t>
      </w:r>
      <w:proofErr w:type="spellStart"/>
      <w:r w:rsidRPr="0031249E">
        <w:rPr>
          <w:rFonts w:ascii="Cambria" w:hAnsi="Cambria"/>
          <w:szCs w:val="24"/>
        </w:rPr>
        <w:t>tema</w:t>
      </w:r>
      <w:proofErr w:type="spellEnd"/>
      <w:r w:rsidRPr="0031249E">
        <w:rPr>
          <w:rFonts w:ascii="Cambria" w:hAnsi="Cambria"/>
          <w:szCs w:val="24"/>
        </w:rPr>
        <w:t xml:space="preserve"> </w:t>
      </w:r>
      <w:proofErr w:type="spellStart"/>
      <w:r w:rsidRPr="0031249E">
        <w:rPr>
          <w:rFonts w:ascii="Cambria" w:hAnsi="Cambria"/>
          <w:szCs w:val="24"/>
        </w:rPr>
        <w:t>reksa</w:t>
      </w:r>
      <w:proofErr w:type="spellEnd"/>
      <w:r w:rsidRPr="0031249E">
        <w:rPr>
          <w:rFonts w:ascii="Cambria" w:hAnsi="Cambria"/>
          <w:szCs w:val="24"/>
        </w:rPr>
        <w:t xml:space="preserve"> dana syariah di Indonesia </w:t>
      </w:r>
      <w:proofErr w:type="spellStart"/>
      <w:r w:rsidRPr="0031249E">
        <w:rPr>
          <w:rFonts w:ascii="Cambria" w:hAnsi="Cambria"/>
          <w:szCs w:val="24"/>
        </w:rPr>
        <w:t>berpotensi</w:t>
      </w:r>
      <w:proofErr w:type="spellEnd"/>
      <w:r w:rsidRPr="0031249E">
        <w:rPr>
          <w:rFonts w:ascii="Cambria" w:hAnsi="Cambria"/>
          <w:szCs w:val="24"/>
        </w:rPr>
        <w:t xml:space="preserve"> </w:t>
      </w:r>
      <w:proofErr w:type="spellStart"/>
      <w:r w:rsidRPr="0031249E">
        <w:rPr>
          <w:rFonts w:ascii="Cambria" w:hAnsi="Cambria"/>
          <w:szCs w:val="24"/>
        </w:rPr>
        <w:t>untuk</w:t>
      </w:r>
      <w:proofErr w:type="spellEnd"/>
      <w:r w:rsidRPr="0031249E">
        <w:rPr>
          <w:rFonts w:ascii="Cambria" w:hAnsi="Cambria"/>
          <w:szCs w:val="24"/>
        </w:rPr>
        <w:t xml:space="preserve"> </w:t>
      </w:r>
      <w:proofErr w:type="spellStart"/>
      <w:r w:rsidRPr="0031249E">
        <w:rPr>
          <w:rFonts w:ascii="Cambria" w:hAnsi="Cambria"/>
          <w:szCs w:val="24"/>
        </w:rPr>
        <w:t>diteliti</w:t>
      </w:r>
      <w:proofErr w:type="spellEnd"/>
      <w:r w:rsidRPr="0031249E">
        <w:rPr>
          <w:rFonts w:ascii="Cambria" w:hAnsi="Cambria"/>
          <w:szCs w:val="24"/>
        </w:rPr>
        <w:t xml:space="preserve"> </w:t>
      </w:r>
      <w:proofErr w:type="spellStart"/>
      <w:r w:rsidRPr="0031249E">
        <w:rPr>
          <w:rFonts w:ascii="Cambria" w:hAnsi="Cambria"/>
          <w:szCs w:val="24"/>
        </w:rPr>
        <w:t>lebih</w:t>
      </w:r>
      <w:proofErr w:type="spellEnd"/>
      <w:r w:rsidRPr="0031249E">
        <w:rPr>
          <w:rFonts w:ascii="Cambria" w:hAnsi="Cambria"/>
          <w:szCs w:val="24"/>
        </w:rPr>
        <w:t xml:space="preserve"> </w:t>
      </w:r>
      <w:proofErr w:type="spellStart"/>
      <w:r w:rsidRPr="0031249E">
        <w:rPr>
          <w:rFonts w:ascii="Cambria" w:hAnsi="Cambria"/>
          <w:szCs w:val="24"/>
        </w:rPr>
        <w:t>lanjut</w:t>
      </w:r>
      <w:proofErr w:type="spellEnd"/>
      <w:r w:rsidRPr="0031249E">
        <w:rPr>
          <w:rFonts w:ascii="Cambria" w:hAnsi="Cambria"/>
          <w:szCs w:val="24"/>
        </w:rPr>
        <w:t xml:space="preserve">, </w:t>
      </w:r>
      <w:proofErr w:type="spellStart"/>
      <w:r w:rsidRPr="0031249E">
        <w:rPr>
          <w:rFonts w:ascii="Cambria" w:hAnsi="Cambria"/>
          <w:szCs w:val="24"/>
        </w:rPr>
        <w:t>terutama</w:t>
      </w:r>
      <w:proofErr w:type="spellEnd"/>
      <w:r w:rsidRPr="0031249E">
        <w:rPr>
          <w:rFonts w:ascii="Cambria" w:hAnsi="Cambria"/>
          <w:szCs w:val="24"/>
        </w:rPr>
        <w:t xml:space="preserve"> </w:t>
      </w:r>
      <w:proofErr w:type="spellStart"/>
      <w:r w:rsidRPr="0031249E">
        <w:rPr>
          <w:rFonts w:ascii="Cambria" w:hAnsi="Cambria"/>
          <w:szCs w:val="24"/>
        </w:rPr>
        <w:t>terkait</w:t>
      </w:r>
      <w:proofErr w:type="spellEnd"/>
      <w:r w:rsidRPr="0031249E">
        <w:rPr>
          <w:rFonts w:ascii="Cambria" w:hAnsi="Cambria"/>
          <w:szCs w:val="24"/>
        </w:rPr>
        <w:t xml:space="preserve"> </w:t>
      </w:r>
      <w:proofErr w:type="spellStart"/>
      <w:r w:rsidRPr="0031249E">
        <w:rPr>
          <w:rFonts w:ascii="Cambria" w:hAnsi="Cambria"/>
          <w:szCs w:val="24"/>
        </w:rPr>
        <w:t>dengan</w:t>
      </w:r>
      <w:proofErr w:type="spellEnd"/>
      <w:r w:rsidRPr="0031249E">
        <w:rPr>
          <w:rFonts w:ascii="Cambria" w:hAnsi="Cambria"/>
          <w:szCs w:val="24"/>
        </w:rPr>
        <w:t xml:space="preserve"> </w:t>
      </w:r>
      <w:proofErr w:type="spellStart"/>
      <w:r w:rsidRPr="0031249E">
        <w:rPr>
          <w:rFonts w:ascii="Cambria" w:hAnsi="Cambria"/>
          <w:szCs w:val="24"/>
        </w:rPr>
        <w:t>perilaku</w:t>
      </w:r>
      <w:proofErr w:type="spellEnd"/>
      <w:r w:rsidRPr="0031249E">
        <w:rPr>
          <w:rFonts w:ascii="Cambria" w:hAnsi="Cambria"/>
          <w:szCs w:val="24"/>
        </w:rPr>
        <w:t xml:space="preserve"> investor </w:t>
      </w:r>
      <w:proofErr w:type="spellStart"/>
      <w:r w:rsidRPr="0031249E">
        <w:rPr>
          <w:rFonts w:ascii="Cambria" w:hAnsi="Cambria"/>
          <w:szCs w:val="24"/>
        </w:rPr>
        <w:t>reksa</w:t>
      </w:r>
      <w:proofErr w:type="spellEnd"/>
      <w:r w:rsidRPr="0031249E">
        <w:rPr>
          <w:rFonts w:ascii="Cambria" w:hAnsi="Cambria"/>
          <w:szCs w:val="24"/>
        </w:rPr>
        <w:t xml:space="preserve"> dana syariah di Indonesia. Hal </w:t>
      </w:r>
      <w:proofErr w:type="spellStart"/>
      <w:r w:rsidRPr="0031249E">
        <w:rPr>
          <w:rFonts w:ascii="Cambria" w:hAnsi="Cambria"/>
          <w:szCs w:val="24"/>
        </w:rPr>
        <w:t>ini</w:t>
      </w:r>
      <w:proofErr w:type="spellEnd"/>
      <w:r w:rsidRPr="0031249E">
        <w:rPr>
          <w:rFonts w:ascii="Cambria" w:hAnsi="Cambria"/>
          <w:szCs w:val="24"/>
        </w:rPr>
        <w:t xml:space="preserve"> </w:t>
      </w:r>
      <w:proofErr w:type="spellStart"/>
      <w:r w:rsidRPr="0031249E">
        <w:rPr>
          <w:rFonts w:ascii="Cambria" w:hAnsi="Cambria"/>
          <w:szCs w:val="24"/>
        </w:rPr>
        <w:t>dikarenakan</w:t>
      </w:r>
      <w:proofErr w:type="spellEnd"/>
      <w:r w:rsidRPr="0031249E">
        <w:rPr>
          <w:rFonts w:ascii="Cambria" w:hAnsi="Cambria"/>
          <w:szCs w:val="24"/>
        </w:rPr>
        <w:t xml:space="preserve"> </w:t>
      </w:r>
      <w:proofErr w:type="spellStart"/>
      <w:r w:rsidRPr="0031249E">
        <w:rPr>
          <w:rFonts w:ascii="Cambria" w:hAnsi="Cambria"/>
          <w:szCs w:val="24"/>
        </w:rPr>
        <w:t>perilaku</w:t>
      </w:r>
      <w:proofErr w:type="spellEnd"/>
      <w:r w:rsidRPr="0031249E">
        <w:rPr>
          <w:rFonts w:ascii="Cambria" w:hAnsi="Cambria"/>
          <w:szCs w:val="24"/>
        </w:rPr>
        <w:t xml:space="preserve"> investor sangat </w:t>
      </w:r>
      <w:proofErr w:type="spellStart"/>
      <w:r w:rsidRPr="0031249E">
        <w:rPr>
          <w:rFonts w:ascii="Cambria" w:hAnsi="Cambria"/>
          <w:szCs w:val="24"/>
        </w:rPr>
        <w:t>penting</w:t>
      </w:r>
      <w:proofErr w:type="spellEnd"/>
      <w:r w:rsidRPr="0031249E">
        <w:rPr>
          <w:rFonts w:ascii="Cambria" w:hAnsi="Cambria"/>
          <w:szCs w:val="24"/>
        </w:rPr>
        <w:t xml:space="preserve"> </w:t>
      </w:r>
      <w:proofErr w:type="spellStart"/>
      <w:r w:rsidRPr="0031249E">
        <w:rPr>
          <w:rFonts w:ascii="Cambria" w:hAnsi="Cambria"/>
          <w:szCs w:val="24"/>
        </w:rPr>
        <w:t>terhadap</w:t>
      </w:r>
      <w:proofErr w:type="spellEnd"/>
      <w:r w:rsidRPr="0031249E">
        <w:rPr>
          <w:rFonts w:ascii="Cambria" w:hAnsi="Cambria"/>
          <w:szCs w:val="24"/>
        </w:rPr>
        <w:t xml:space="preserve"> </w:t>
      </w:r>
      <w:proofErr w:type="spellStart"/>
      <w:r w:rsidRPr="0031249E">
        <w:rPr>
          <w:rFonts w:ascii="Cambria" w:hAnsi="Cambria"/>
          <w:szCs w:val="24"/>
        </w:rPr>
        <w:t>perkembangan</w:t>
      </w:r>
      <w:proofErr w:type="spellEnd"/>
      <w:r w:rsidRPr="0031249E">
        <w:rPr>
          <w:rFonts w:ascii="Cambria" w:hAnsi="Cambria"/>
          <w:szCs w:val="24"/>
        </w:rPr>
        <w:t xml:space="preserve"> </w:t>
      </w:r>
      <w:proofErr w:type="spellStart"/>
      <w:r w:rsidRPr="0031249E">
        <w:rPr>
          <w:rFonts w:ascii="Cambria" w:hAnsi="Cambria"/>
          <w:szCs w:val="24"/>
        </w:rPr>
        <w:t>industri</w:t>
      </w:r>
      <w:proofErr w:type="spellEnd"/>
      <w:r w:rsidRPr="0031249E">
        <w:rPr>
          <w:rFonts w:ascii="Cambria" w:hAnsi="Cambria"/>
          <w:szCs w:val="24"/>
        </w:rPr>
        <w:t xml:space="preserve"> </w:t>
      </w:r>
      <w:proofErr w:type="spellStart"/>
      <w:r w:rsidRPr="0031249E">
        <w:rPr>
          <w:rFonts w:ascii="Cambria" w:hAnsi="Cambria"/>
          <w:szCs w:val="24"/>
        </w:rPr>
        <w:t>reksadana</w:t>
      </w:r>
      <w:proofErr w:type="spellEnd"/>
      <w:r w:rsidRPr="0031249E">
        <w:rPr>
          <w:rFonts w:ascii="Cambria" w:hAnsi="Cambria"/>
          <w:szCs w:val="24"/>
        </w:rPr>
        <w:t xml:space="preserve"> syariah di Indonesia.</w:t>
      </w:r>
    </w:p>
    <w:p w14:paraId="20AF71EF" w14:textId="77777777" w:rsidR="00953047" w:rsidRPr="0031249E" w:rsidRDefault="00953047" w:rsidP="00953047">
      <w:pPr>
        <w:spacing w:after="160" w:line="240" w:lineRule="auto"/>
        <w:ind w:left="0" w:firstLine="0"/>
        <w:jc w:val="left"/>
        <w:rPr>
          <w:rFonts w:ascii="Cambria" w:hAnsi="Cambria"/>
          <w:noProof/>
          <w:szCs w:val="24"/>
          <w:lang w:val="en-US"/>
        </w:rPr>
      </w:pPr>
      <w:r w:rsidRPr="0031249E">
        <w:rPr>
          <w:rFonts w:ascii="Cambria" w:hAnsi="Cambria"/>
          <w:b/>
          <w:noProof/>
          <w:szCs w:val="24"/>
          <w:lang w:val="id-ID"/>
        </w:rPr>
        <w:t>Kata Kunci</w:t>
      </w:r>
      <w:r w:rsidRPr="0031249E">
        <w:rPr>
          <w:rFonts w:ascii="Cambria" w:hAnsi="Cambria"/>
          <w:noProof/>
          <w:szCs w:val="24"/>
          <w:lang w:val="id-ID"/>
        </w:rPr>
        <w:t xml:space="preserve"> : </w:t>
      </w:r>
      <w:proofErr w:type="spellStart"/>
      <w:r w:rsidRPr="0031249E">
        <w:rPr>
          <w:rFonts w:ascii="Cambria" w:hAnsi="Cambria"/>
          <w:szCs w:val="24"/>
        </w:rPr>
        <w:t>reksadana</w:t>
      </w:r>
      <w:proofErr w:type="spellEnd"/>
      <w:r w:rsidRPr="0031249E">
        <w:rPr>
          <w:rFonts w:ascii="Cambria" w:hAnsi="Cambria"/>
          <w:szCs w:val="24"/>
        </w:rPr>
        <w:t xml:space="preserve"> syariah, </w:t>
      </w:r>
      <w:proofErr w:type="spellStart"/>
      <w:r w:rsidRPr="0031249E">
        <w:rPr>
          <w:rFonts w:ascii="Cambria" w:hAnsi="Cambria"/>
          <w:szCs w:val="24"/>
        </w:rPr>
        <w:t>analisis</w:t>
      </w:r>
      <w:proofErr w:type="spellEnd"/>
      <w:r w:rsidRPr="0031249E">
        <w:rPr>
          <w:rFonts w:ascii="Cambria" w:hAnsi="Cambria"/>
          <w:szCs w:val="24"/>
        </w:rPr>
        <w:t xml:space="preserve"> </w:t>
      </w:r>
      <w:proofErr w:type="spellStart"/>
      <w:r w:rsidRPr="0031249E">
        <w:rPr>
          <w:rFonts w:ascii="Cambria" w:hAnsi="Cambria"/>
          <w:szCs w:val="24"/>
        </w:rPr>
        <w:t>bibliometrik</w:t>
      </w:r>
      <w:proofErr w:type="spellEnd"/>
      <w:r w:rsidRPr="0031249E">
        <w:rPr>
          <w:rFonts w:ascii="Cambria" w:hAnsi="Cambria"/>
          <w:szCs w:val="24"/>
        </w:rPr>
        <w:t xml:space="preserve">, </w:t>
      </w:r>
      <w:proofErr w:type="spellStart"/>
      <w:r w:rsidRPr="0031249E">
        <w:rPr>
          <w:rFonts w:ascii="Cambria" w:hAnsi="Cambria"/>
          <w:szCs w:val="24"/>
        </w:rPr>
        <w:t>biblioshiny</w:t>
      </w:r>
      <w:proofErr w:type="spellEnd"/>
      <w:r w:rsidRPr="0031249E">
        <w:rPr>
          <w:rFonts w:ascii="Cambria" w:hAnsi="Cambria"/>
          <w:noProof/>
          <w:szCs w:val="24"/>
          <w:lang w:val="id-ID"/>
        </w:rPr>
        <w:t xml:space="preserve"> </w:t>
      </w:r>
    </w:p>
    <w:p w14:paraId="739139DA" w14:textId="2D4A9EA7" w:rsidR="00F72D5A" w:rsidRPr="0031249E" w:rsidRDefault="00F72D5A" w:rsidP="005E3AC4">
      <w:pPr>
        <w:spacing w:after="161" w:line="240" w:lineRule="auto"/>
        <w:ind w:left="0" w:firstLine="0"/>
        <w:rPr>
          <w:rFonts w:ascii="Cambria" w:hAnsi="Cambria"/>
          <w:noProof/>
          <w:szCs w:val="24"/>
          <w:lang w:val="id-ID"/>
        </w:rPr>
      </w:pPr>
    </w:p>
    <w:p w14:paraId="25654307" w14:textId="77777777" w:rsidR="00241C37" w:rsidRPr="0031249E" w:rsidRDefault="00241C37" w:rsidP="00E677F1">
      <w:pPr>
        <w:spacing w:after="0" w:line="240" w:lineRule="auto"/>
        <w:jc w:val="left"/>
        <w:rPr>
          <w:rFonts w:ascii="Cambria" w:hAnsi="Cambria"/>
          <w:b/>
          <w:szCs w:val="24"/>
        </w:rPr>
      </w:pPr>
      <w:r w:rsidRPr="0031249E">
        <w:rPr>
          <w:rFonts w:ascii="Cambria" w:hAnsi="Cambria"/>
          <w:b/>
          <w:szCs w:val="24"/>
        </w:rPr>
        <w:t>pengantar</w:t>
      </w:r>
    </w:p>
    <w:p w14:paraId="38C92D7F" w14:textId="77777777" w:rsidR="00241C37" w:rsidRPr="0031249E" w:rsidRDefault="00241C37" w:rsidP="00E677F1">
      <w:pPr>
        <w:spacing w:after="0" w:line="240" w:lineRule="auto"/>
        <w:rPr>
          <w:rFonts w:ascii="Cambria" w:hAnsi="Cambria"/>
          <w:b/>
          <w:szCs w:val="24"/>
        </w:rPr>
      </w:pPr>
    </w:p>
    <w:p w14:paraId="18E345B1" w14:textId="77777777" w:rsidR="00241C37" w:rsidRPr="0031249E" w:rsidRDefault="00241C37" w:rsidP="001B43BA">
      <w:pPr>
        <w:spacing w:line="240" w:lineRule="auto"/>
        <w:ind w:left="0" w:right="-1" w:firstLine="720"/>
        <w:rPr>
          <w:rFonts w:ascii="Cambria" w:hAnsi="Cambria"/>
          <w:szCs w:val="24"/>
          <w:lang w:val="en-GB"/>
        </w:rPr>
      </w:pPr>
      <w:r w:rsidRPr="0031249E">
        <w:rPr>
          <w:rFonts w:ascii="Cambria" w:hAnsi="Cambria"/>
          <w:szCs w:val="24"/>
          <w:lang w:val="en-GB"/>
        </w:rPr>
        <w:t>Indonesia adalah negara mayoritas Muslim yaitu sekitar 87% dari total penduduk negara. Hal ini menjadikan Indonesia negara dengan penduduk Muslim terbesar di dunia, dengan hampir 231 juta penduduk di negara ini beragama Islam</w:t>
      </w:r>
      <w:r w:rsidRPr="0031249E">
        <w:rPr>
          <w:rFonts w:ascii="Cambria" w:hAnsi="Cambria"/>
          <w:szCs w:val="24"/>
          <w:lang w:val="en-GB"/>
        </w:rPr>
        <w:fldChar w:fldCharType="begin" w:fldLock="1"/>
      </w:r>
      <w:r w:rsidRPr="0031249E">
        <w:rPr>
          <w:rFonts w:ascii="Cambria" w:hAnsi="Cambria"/>
          <w:szCs w:val="24"/>
          <w:lang w:val="en-GB"/>
        </w:rPr>
        <w:instrText>ADDIN CSL_CITATION {"citationItems":[{"id":"ITEM-1","itemData":{"author":[{"dropping-particle":"","family":"Kementerian Agama RI","given":"","non-dropping-particle":"","parse-names":false,"suffix":""}],"container-title":"Data Umat Berdasarkan Agama","id":"ITEM-1","issued":{"date-parts":[["2022"]]},"title":"Portal Data Kementerian Agama RI","type":"webpage"},"uris":["http://www.mendeley.com/documents/?uuid=8368dc8d-592b-4423-8c68-265c18581f10"]}],"mendeley":{"formattedCitation":"(Kementerian Agama RI, 2022)","plainTextFormattedCitation":"(Kementerian Agama RI, 2022)","previouslyFormattedCitation":"(Kementerian Agama RI, 2022)"},"properties":{"noteIndex":0},"schema":"https://github.com/citation-style-language/schema/raw/master/csl-citation.json"}</w:instrText>
      </w:r>
      <w:r w:rsidRPr="0031249E">
        <w:rPr>
          <w:rFonts w:ascii="Cambria" w:hAnsi="Cambria"/>
          <w:szCs w:val="24"/>
          <w:lang w:val="en-GB"/>
        </w:rPr>
        <w:fldChar w:fldCharType="separate"/>
      </w:r>
      <w:r w:rsidRPr="0031249E">
        <w:rPr>
          <w:rFonts w:ascii="Cambria" w:hAnsi="Cambria"/>
          <w:noProof/>
          <w:szCs w:val="24"/>
          <w:lang w:val="en-GB"/>
        </w:rPr>
        <w:t>(Kementerian Agama Republik Indonesia, 2022)</w:t>
      </w:r>
      <w:r w:rsidRPr="0031249E">
        <w:rPr>
          <w:rFonts w:ascii="Cambria" w:hAnsi="Cambria"/>
          <w:szCs w:val="24"/>
          <w:lang w:val="en-GB"/>
        </w:rPr>
        <w:fldChar w:fldCharType="end"/>
      </w:r>
      <w:r w:rsidRPr="0031249E">
        <w:rPr>
          <w:rFonts w:ascii="Cambria" w:hAnsi="Cambria"/>
          <w:szCs w:val="24"/>
          <w:lang w:val="en-GB"/>
        </w:rPr>
        <w:t>. Dengan jumlah penduduk ini, ada peluang untuk pengembangan ekonomi Islam. Sejalan dengan perkembangan ekonomi syariah, telah diperkenalkan produk-produk berbasis syariah yang ditandai dengan munculnya reksa dana syariah sebagai instrumen investasi.</w:t>
      </w:r>
    </w:p>
    <w:p w14:paraId="61F567FF" w14:textId="77777777" w:rsidR="00241C37" w:rsidRPr="0031249E" w:rsidRDefault="00241C37" w:rsidP="001B43BA">
      <w:pPr>
        <w:spacing w:line="240" w:lineRule="auto"/>
        <w:ind w:left="0" w:right="-1" w:firstLine="720"/>
        <w:rPr>
          <w:rFonts w:ascii="Cambria" w:hAnsi="Cambria"/>
          <w:szCs w:val="24"/>
          <w:lang w:val="en-GB"/>
        </w:rPr>
      </w:pPr>
      <w:r w:rsidRPr="0031249E">
        <w:rPr>
          <w:rFonts w:ascii="Cambria" w:hAnsi="Cambria"/>
          <w:szCs w:val="24"/>
          <w:lang w:val="en-GB"/>
        </w:rPr>
        <w:t xml:space="preserve">Menurut Dewan Syariah Nasional MUI, reksa dana syariah merupakan alternatif investasi bagi masyarakat yang ingin menginvestasikan dananya di pasar modal yang beroperasi berdasarkan prinsip syariah, baik dalam bentuk akad antara investor sebagai pemilik properti maupun manajer investasi sebagai perwakilan. pemilik properti, serta antara manajer investasi sebagai wakil dari pemilik properti dengan pengguna investasi, yang dalam pengelolaan portofolio menghasilkan nilai aktiva bersih (NAB). Pengelolaan </w:t>
      </w:r>
      <w:r w:rsidRPr="0031249E">
        <w:rPr>
          <w:rFonts w:ascii="Cambria" w:hAnsi="Cambria"/>
          <w:szCs w:val="24"/>
          <w:lang w:val="en-GB"/>
        </w:rPr>
        <w:lastRenderedPageBreak/>
        <w:t>reksa dana ini tidak melibatkan investor secara langsung, investor hanya menunggu hasil investasi yang telah dikelola oleh manajer investasi dan dapat memantau perkembangan reksa dana melalui Nilai Aktiva Bersih (NAB)</w:t>
      </w:r>
      <w:r w:rsidRPr="0031249E">
        <w:rPr>
          <w:rFonts w:ascii="Cambria" w:hAnsi="Cambria"/>
          <w:szCs w:val="24"/>
          <w:lang w:val="en-GB"/>
        </w:rPr>
        <w:fldChar w:fldCharType="begin" w:fldLock="1"/>
      </w:r>
      <w:r w:rsidRPr="0031249E">
        <w:rPr>
          <w:rFonts w:ascii="Cambria" w:hAnsi="Cambria"/>
          <w:szCs w:val="24"/>
          <w:lang w:val="en-GB"/>
        </w:rPr>
        <w:instrText>ADDIN CSL_CITATION {"citationItems":[{"id":"ITEM-1","itemData":{"author":[{"dropping-particle":"","family":"Sam","given":"M. Ichwan","non-dropping-particle":"","parse-names":false,"suffix":""}],"id":"ITEM-1","issued":{"date-parts":[["2014"]]},"publisher":"Erlangga","publisher-place":"Jakarta","title":"Himpunan Fatwa Keuangan Syariah DSN MUI","type":"book"},"uris":["http://www.mendeley.com/documents/?uuid=8fbe1bab-7e31-4d34-b6d0-64e959d39d7c"]}],"mendeley":{"formattedCitation":"(Sam, 2014)","plainTextFormattedCitation":"(Sam, 2014)","previouslyFormattedCitation":"(Sam, 2014)"},"properties":{"noteIndex":0},"schema":"https://github.com/citation-style-language/schema/raw/master/csl-citation.json"}</w:instrText>
      </w:r>
      <w:r w:rsidRPr="0031249E">
        <w:rPr>
          <w:rFonts w:ascii="Cambria" w:hAnsi="Cambria"/>
          <w:szCs w:val="24"/>
          <w:lang w:val="en-GB"/>
        </w:rPr>
        <w:fldChar w:fldCharType="separate"/>
      </w:r>
      <w:r w:rsidRPr="0031249E">
        <w:rPr>
          <w:rFonts w:ascii="Cambria" w:hAnsi="Cambria"/>
          <w:noProof/>
          <w:szCs w:val="24"/>
          <w:lang w:val="en-GB"/>
        </w:rPr>
        <w:t>(Sam, 2014)</w:t>
      </w:r>
      <w:r w:rsidRPr="0031249E">
        <w:rPr>
          <w:rFonts w:ascii="Cambria" w:hAnsi="Cambria"/>
          <w:szCs w:val="24"/>
          <w:lang w:val="en-GB"/>
        </w:rPr>
        <w:fldChar w:fldCharType="end"/>
      </w:r>
      <w:r w:rsidRPr="0031249E">
        <w:rPr>
          <w:rFonts w:ascii="Cambria" w:hAnsi="Cambria"/>
          <w:szCs w:val="24"/>
          <w:lang w:val="en-GB"/>
        </w:rPr>
        <w:t>.</w:t>
      </w:r>
    </w:p>
    <w:p w14:paraId="1EA39388" w14:textId="77777777" w:rsidR="00241C37" w:rsidRPr="0031249E" w:rsidRDefault="00241C37" w:rsidP="001B43BA">
      <w:pPr>
        <w:spacing w:line="240" w:lineRule="auto"/>
        <w:ind w:left="0" w:right="-1" w:firstLine="720"/>
        <w:rPr>
          <w:rFonts w:ascii="Cambria" w:hAnsi="Cambria"/>
          <w:szCs w:val="24"/>
        </w:rPr>
      </w:pPr>
      <w:r w:rsidRPr="0031249E">
        <w:rPr>
          <w:rFonts w:ascii="Cambria" w:hAnsi="Cambria"/>
          <w:szCs w:val="24"/>
        </w:rPr>
        <w:t>Perkembangan reksa dana syariah cukup pesat. Hal ini terlihat dari perkembangan NAB Reksa Dana Syariah Tahun 2017-2022 pada Gambar 1. Pada tahun 2017 terdapat 182 reksa dana syariah dengan nilai aset bersih sebesar 28,31 triliun, pada tahun 2018 mengalami peningkatan sebesar 21,5% dengan kenaikan nilai aset bersih sebesar 34,49 triliun dan total 224 reksa dana syariah, pada tahun 2019 meningkat hingga 55,8% dengan nilai aset bersih sebesar 53,74 triliun yang terdiri dari 265 reksa dana syariah. Pada tahun 2020 terjadi peningkatan sebesar 38,4% dengan nilai aset bersih sebesar 74,37 triliun dan total 289 reksa dana syariah. Namun, NAB mengalami penurunan pada tahun 2021 dan 2022.</w:t>
      </w:r>
    </w:p>
    <w:p w14:paraId="045F7F7C" w14:textId="77777777" w:rsidR="00241C37" w:rsidRPr="0031249E" w:rsidRDefault="00241C37" w:rsidP="001B43BA">
      <w:pPr>
        <w:pStyle w:val="Body"/>
        <w:spacing w:line="240" w:lineRule="auto"/>
        <w:ind w:left="284" w:firstLine="0"/>
        <w:rPr>
          <w:rFonts w:ascii="Cambria" w:hAnsi="Cambria"/>
          <w:b/>
          <w:bCs/>
          <w:szCs w:val="24"/>
        </w:rPr>
      </w:pPr>
      <w:r w:rsidRPr="0031249E">
        <w:rPr>
          <w:rFonts w:ascii="Cambria" w:hAnsi="Cambria"/>
          <w:b/>
          <w:bCs/>
          <w:szCs w:val="24"/>
        </w:rPr>
        <w:t>Gambar 1.</w:t>
      </w:r>
    </w:p>
    <w:p w14:paraId="5EAA5890" w14:textId="77777777" w:rsidR="00241C37" w:rsidRPr="0031249E" w:rsidRDefault="00241C37" w:rsidP="001B43BA">
      <w:pPr>
        <w:pStyle w:val="Body"/>
        <w:spacing w:line="240" w:lineRule="auto"/>
        <w:ind w:left="284" w:firstLine="0"/>
        <w:rPr>
          <w:rFonts w:ascii="Cambria" w:hAnsi="Cambria"/>
          <w:b/>
          <w:bCs/>
          <w:i/>
          <w:iCs/>
          <w:szCs w:val="24"/>
        </w:rPr>
      </w:pPr>
    </w:p>
    <w:p w14:paraId="48148612" w14:textId="77777777" w:rsidR="00241C37" w:rsidRPr="0031249E" w:rsidRDefault="00241C37" w:rsidP="001B43BA">
      <w:pPr>
        <w:pStyle w:val="Body"/>
        <w:spacing w:line="240" w:lineRule="auto"/>
        <w:ind w:left="284" w:firstLine="0"/>
        <w:rPr>
          <w:rFonts w:ascii="Cambria" w:hAnsi="Cambria"/>
          <w:i/>
          <w:iCs/>
          <w:szCs w:val="24"/>
        </w:rPr>
      </w:pPr>
      <w:r w:rsidRPr="0031249E">
        <w:rPr>
          <w:rFonts w:ascii="Cambria" w:hAnsi="Cambria"/>
          <w:i/>
          <w:iCs/>
          <w:szCs w:val="24"/>
        </w:rPr>
        <w:t>Perkembangan Reksa Dana Syariah</w:t>
      </w:r>
    </w:p>
    <w:p w14:paraId="566840BF" w14:textId="77777777" w:rsidR="00241C37" w:rsidRPr="0031249E" w:rsidRDefault="00241C37" w:rsidP="001B43BA">
      <w:pPr>
        <w:spacing w:line="240" w:lineRule="auto"/>
        <w:ind w:right="-1"/>
        <w:rPr>
          <w:rFonts w:ascii="Cambria" w:hAnsi="Cambria"/>
          <w:szCs w:val="24"/>
          <w:lang w:val="en-US"/>
        </w:rPr>
      </w:pPr>
      <w:r w:rsidRPr="0031249E">
        <w:rPr>
          <w:rFonts w:ascii="Cambria" w:hAnsi="Cambria"/>
          <w:noProof/>
          <w:szCs w:val="24"/>
          <w:lang w:eastAsia="en-US"/>
        </w:rPr>
        <w:drawing>
          <wp:inline distT="0" distB="0" distL="0" distR="0" wp14:anchorId="6CEC0FE9" wp14:editId="372B5BC0">
            <wp:extent cx="3204845"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4845" cy="2209800"/>
                    </a:xfrm>
                    <a:prstGeom prst="rect">
                      <a:avLst/>
                    </a:prstGeom>
                  </pic:spPr>
                </pic:pic>
              </a:graphicData>
            </a:graphic>
          </wp:inline>
        </w:drawing>
      </w:r>
    </w:p>
    <w:p w14:paraId="7888C1EA" w14:textId="77777777" w:rsidR="00241C37" w:rsidRPr="0031249E" w:rsidRDefault="00241C37" w:rsidP="001B43BA">
      <w:pPr>
        <w:pStyle w:val="NormalWeb"/>
        <w:ind w:firstLine="360"/>
        <w:rPr>
          <w:rFonts w:ascii="Cambria" w:hAnsi="Cambria"/>
        </w:rPr>
      </w:pPr>
      <w:r w:rsidRPr="0031249E">
        <w:rPr>
          <w:rFonts w:ascii="Cambria" w:hAnsi="Cambria"/>
        </w:rPr>
        <w:t>Sumber: Otoritas Jasa Keuangan (2022)</w:t>
      </w:r>
    </w:p>
    <w:p w14:paraId="318428BE" w14:textId="77777777" w:rsidR="00241C37" w:rsidRPr="0031249E" w:rsidRDefault="00241C37" w:rsidP="001B43BA">
      <w:pPr>
        <w:spacing w:line="240" w:lineRule="auto"/>
        <w:ind w:right="-1"/>
        <w:rPr>
          <w:rFonts w:ascii="Cambria" w:hAnsi="Cambria"/>
          <w:szCs w:val="24"/>
          <w:lang w:val="en-US"/>
        </w:rPr>
      </w:pPr>
    </w:p>
    <w:p w14:paraId="361BC8E1" w14:textId="77777777" w:rsidR="00241C37" w:rsidRPr="0031249E" w:rsidRDefault="00241C37" w:rsidP="001B43BA">
      <w:pPr>
        <w:spacing w:line="240" w:lineRule="auto"/>
        <w:ind w:left="0" w:right="-1" w:firstLine="720"/>
        <w:rPr>
          <w:rFonts w:ascii="Cambria" w:hAnsi="Cambria"/>
          <w:szCs w:val="24"/>
        </w:rPr>
      </w:pPr>
      <w:r w:rsidRPr="0031249E">
        <w:rPr>
          <w:rFonts w:ascii="Cambria" w:hAnsi="Cambria"/>
          <w:szCs w:val="24"/>
        </w:rPr>
        <w:t>Penelitian sebelumnya terkait reksa dana syariah di Indonesia sudah banyak dilakukan. Penelitian ini berfokus pada kinerja reksa dana syariah</w:t>
      </w:r>
      <w:r w:rsidRPr="0031249E">
        <w:rPr>
          <w:rFonts w:ascii="Cambria" w:hAnsi="Cambria"/>
          <w:szCs w:val="24"/>
        </w:rPr>
        <w:fldChar w:fldCharType="begin" w:fldLock="1"/>
      </w:r>
      <w:r w:rsidRPr="0031249E">
        <w:rPr>
          <w:rFonts w:ascii="Cambria" w:hAnsi="Cambria"/>
          <w:szCs w:val="24"/>
        </w:rPr>
        <w:instrText>ADDIN CSL_CITATION {"citationItems":[{"id":"ITEM-1","itemData":{"DOI":"10.17509/jrak.v4i2.4043","ISSN":"2338-1507","abstract":"Penelitian ini bertujuan untuk mengetahui kinerja Reksadana Syariah di Indonesia khususnya Reksadana jenis saham dengan periode penelitian 2010- 2014. Metode pengukuran kinerja yang digunakan adalah Sharpe Ratio. Data yang digunakan dalam penelitian ini adalah data sekunder dengan sampel 6 Reksadana Saham Syariah dengan teknik pengambilan sampel menggunakan purposive sampling. Tehnik analisis yang digunakan dalam penelitian ini adalah teknik deskriptif dengan pendekatan kuantitatif. Hasil penelitian menunjukkan bahwa Reksadana Cipta Syariah Equity merupakan Reksadana Saham Syariah yang memiliki kinerja terbaik dibandingkan dengan Reksadana Saham Syariah lainnya","author":[{"dropping-particle":"","family":"Waridah","given":"Winda","non-dropping-particle":"","parse-names":false,"suffix":""},{"dropping-particle":"","family":"Mediawati","given":"Elis","non-dropping-particle":"","parse-names":false,"suffix":""}],"container-title":"Jurnal Riset Akuntansi dan Keuangan","id":"ITEM-1","issue":"2","issued":{"date-parts":[["2016"]]},"page":"1077-1086","title":"Analisis Kinerja Reksadana Syariah","type":"article-journal","volume":"4"},"uris":["http://www.mendeley.com/documents/?uuid=9e6ac088-099a-495e-8681-827f7ebc43c5"]},{"id":"ITEM-2","itemData":{"DOI":"10.46367/jas.v3i1.167","ISSN":"25493086","abstract":"Tujuan dari penelitian ini adalah untuk menganalisis kinerja reksadana syariah yang meliputi saham, pendapatan tetap, campuran, dan pasar uang. Jenis penelitian yang dilakukan adalah penelitian deskriptif kuantitatif. Metode pengumpulan data dalam penelitian ini adalah teknik dokumentasi dengan data sekunder yaitu melalui situs resmi bareksa.com. Pengukuran kinerja reksadana syariah dalam penelitan ini menggunakan satu metode saja yaitu metode sharpe. Berdasarkan perhitungan Sharpe dapat disimpulkan bahwa kinerja tertinggi di antara reksa dana syariah yang meliputi saham, pendapatan tetap, campuran dan pasar uang pada tahun 2015, 2016, dan 2017 adalah reksa dana saham syariah.","author":[{"dropping-particle":"","family":"Sepdiana","given":"Nana","non-dropping-particle":"","parse-names":false,"suffix":""}],"container-title":"JAS (Jurnal Akuntansi Syariah)","id":"ITEM-2","issue":"1","issued":{"date-parts":[["2019"]]},"page":"118-132","title":"Kinerja Reksa Dana Syariah Di Pasar Modal Indonesia","type":"article-journal","volume":"3"},"uris":["http://www.mendeley.com/documents/?uuid=bbe3ef28-096c-4b38-a9c9-27df631f8674"]},{"id":"ITEM-3","itemData":{"DOI":"10.25299/jtb.2021.vol4(2).7422","ISSN":"2621-6833","abstract":"Penelitian ini bertujuan meninjau perkembangan investasi reksadana syariah yang terdaftar dalam Otoritas Jasa Keuangan pada periode era new normal. Data yang dianalisis pada penelitian ini yaitu data sekunder, serta pengambilan sampel menggunakan purposive sampling. Teknik analisis yang digunakan dalam penelitian ini adalah deskriptif dengan pendekatan kuantitatif. Berdasarkan hasil penelitian yang telah dijabarkan, eksistensi kinerja reksadana syariah tumbuh positif pada era new normal. Hal itu berdasarkan: (1) Tingkat return reksadana positif ditinjau dari Compound Annual Growth Rate (CAGR), dalam CAGR 1Y peningkatan paling tinggi sebesar +63.97% dan paling rendah +2.59%,  (2) Tingkat kerugian yang paling tinggi periode satu tahun terakhir ditinjau dari drawdown 1Y paling rendah yaitu sebesar 0,01% dan drawdown tertinggi sebesar -19.30%, (3) Terdapat peningkatan jumlah dana yang dikelola ditinjau dari nilai AUM (Asset Under Management) 1Y pertumbuhan paling tinggi +536.31B dan penurunan paling rendah -152.71 B, (4) Pertumbuhan nilai pasar reksadana saat ini, ditinjau dari Net Asset Value (NAV) 1Y seluruh sampel tumbuh positif dengan tambahan paling tinggi sebesar +753.65, dan paling rendah +22.20.","author":[{"dropping-particle":"","family":"Rapini","given":"Titi","non-dropping-particle":"","parse-names":false,"suffix":""},{"dropping-particle":"","family":"Farida","given":"Umi","non-dropping-particle":"","parse-names":false,"suffix":""},{"dropping-particle":"","family":"Listyono Putro","given":"Rizki","non-dropping-particle":"","parse-names":false,"suffix":""}],"container-title":"Jurnal Tabarru': Islamic Banking and Finance","id":"ITEM-3","issue":"2","issued":{"date-parts":[["2021"]]},"page":"356-368","title":"Eksistensi Kinerja Reksadana Syariah Pada Era New Normal","type":"article-journal","volume":"4"},"uris":["http://www.mendeley.com/documents/?uuid=a01a456d-98e6-41d7-b6e2-b34130024841"]}],"mendeley":{"formattedCitation":"(Rapini et al., 2021; Sepdiana, 2019; Waridah &amp; Mediawati, 2016)","plainTextFormattedCitation":"(Rapini et al., 2021; Sepdiana, 2019; Waridah &amp; Mediawati, 2016)","previouslyFormattedCitation":"(Rapini et al., 2021; Sepdiana, 2019; Waridah &amp; Mediawati, 2016)"},"properties":{"noteIndex":0},"schema":"https://github.com/citation-style-language/schema/raw/master/csl-citation.json"}</w:instrText>
      </w:r>
      <w:r w:rsidRPr="0031249E">
        <w:rPr>
          <w:rFonts w:ascii="Cambria" w:hAnsi="Cambria"/>
          <w:szCs w:val="24"/>
        </w:rPr>
        <w:fldChar w:fldCharType="separate"/>
      </w:r>
      <w:r w:rsidRPr="0031249E">
        <w:rPr>
          <w:rFonts w:ascii="Cambria" w:hAnsi="Cambria"/>
          <w:noProof/>
          <w:szCs w:val="24"/>
        </w:rPr>
        <w:t>(Rapini dkk., 2021; Sepdiana, 2019; Waridah &amp; Mediawati, 2016)</w:t>
      </w:r>
      <w:r w:rsidRPr="0031249E">
        <w:rPr>
          <w:rFonts w:ascii="Cambria" w:hAnsi="Cambria"/>
          <w:szCs w:val="24"/>
        </w:rPr>
        <w:fldChar w:fldCharType="end"/>
      </w:r>
      <w:r w:rsidRPr="0031249E">
        <w:rPr>
          <w:rFonts w:ascii="Cambria" w:hAnsi="Cambria"/>
          <w:szCs w:val="24"/>
        </w:rPr>
        <w:t>. Penelitian sebelumnya juga telah menggunakan berbagai metode untuk mengukur kinerja reksa dana syariah, antara lain melalui Sharpe, Treynor, dan Jensen.</w:t>
      </w:r>
      <w:r w:rsidRPr="0031249E">
        <w:rPr>
          <w:rFonts w:ascii="Cambria" w:hAnsi="Cambria"/>
          <w:szCs w:val="24"/>
        </w:rPr>
        <w:fldChar w:fldCharType="begin" w:fldLock="1"/>
      </w:r>
      <w:r w:rsidRPr="0031249E">
        <w:rPr>
          <w:rFonts w:ascii="Cambria" w:hAnsi="Cambria"/>
          <w:szCs w:val="24"/>
        </w:rPr>
        <w:instrText>ADDIN CSL_CITATION {"citationItems":[{"id":"ITEM-1","itemData":{"DOI":"10.47467/alkharaj.v5i1.1103","ISSN":"2656-2871","abstract":"This study aims to explain the comparative analysis between the performance of conventional equity funds and sharia equity funds using the sharpe, treynor, and jensen methods. The population in this study were all registered conventional equity funds and sharia equity funds on the Otoritas Jasa Keuangan (OJK) in 2017 – 2020. Based on the purposive sampling technique, 21 samples of equity funds were obtained as the samples of this study. The analysis technique in this study is comparative hypothesis testing (differential test). The results of this study indicate that there is no significant difference between the performance of conventional equity funds and sharia equity funds throught the sharpe, treynor, and jensen methods.","author":[{"dropping-particle":"","family":"Caisar","given":"Jefry","non-dropping-particle":"","parse-names":false,"suffix":""},{"dropping-particle":"","family":"Andriana","given":"Isni","non-dropping-particle":"","parse-names":false,"suffix":""},{"dropping-particle":"","family":"Thamrin","given":" Kemas M. Husni","non-dropping-particle":"","parse-names":false,"suffix":""}],"container-title":"Al-Kharaj : Jurnal Ekonomi, Keuangan &amp; Bisnis Syariah","id":"ITEM-1","issue":"1","issued":{"date-parts":[["2022"]]},"page":"255-270","title":"Analisis Perbandingan Kinerja Reksa Dana Saham Konvensional dengan Saham Syariah","type":"article-journal","volume":"5"},"uris":["http://www.mendeley.com/documents/?uuid=45f1c778-594d-4a66-aca7-95625a56ebbd"]}],"mendeley":{"formattedCitation":"(Caisar et al., 2022)","plainTextFormattedCitation":"(Caisar et al., 2022)","previouslyFormattedCitation":"(Caisar et al., 2022)"},"properties":{"noteIndex":0},"schema":"https://github.com/citation-style-language/schema/raw/master/csl-citation.json"}</w:instrText>
      </w:r>
      <w:r w:rsidRPr="0031249E">
        <w:rPr>
          <w:rFonts w:ascii="Cambria" w:hAnsi="Cambria"/>
          <w:szCs w:val="24"/>
        </w:rPr>
        <w:fldChar w:fldCharType="separate"/>
      </w:r>
      <w:r w:rsidRPr="0031249E">
        <w:rPr>
          <w:rFonts w:ascii="Cambria" w:hAnsi="Cambria"/>
          <w:noProof/>
          <w:szCs w:val="24"/>
        </w:rPr>
        <w:t>(Caisar dkk., 2022)</w:t>
      </w:r>
      <w:r w:rsidRPr="0031249E">
        <w:rPr>
          <w:rFonts w:ascii="Cambria" w:hAnsi="Cambria"/>
          <w:szCs w:val="24"/>
        </w:rPr>
        <w:fldChar w:fldCharType="end"/>
      </w:r>
      <w:r w:rsidRPr="0031249E">
        <w:rPr>
          <w:rFonts w:ascii="Cambria" w:hAnsi="Cambria"/>
          <w:szCs w:val="24"/>
        </w:rPr>
        <w:t>. Selain itu, perbandingan kinerja reksa dana syariah dan reksa dana konvensional</w:t>
      </w:r>
      <w:r w:rsidRPr="0031249E">
        <w:rPr>
          <w:rFonts w:ascii="Cambria" w:hAnsi="Cambria"/>
          <w:szCs w:val="24"/>
        </w:rPr>
        <w:fldChar w:fldCharType="begin" w:fldLock="1"/>
      </w:r>
      <w:r w:rsidRPr="0031249E">
        <w:rPr>
          <w:rFonts w:ascii="Cambria" w:hAnsi="Cambria"/>
          <w:szCs w:val="24"/>
        </w:rPr>
        <w:instrText>ADDIN CSL_CITATION {"citationItems":[{"id":"ITEM-1","itemData":{"DOI":"10.15408/akt.v11i2.8794","abstract":"This study aims to compare the performance of conventional stock mutual funds and Islamic stock mutual funds with the Sharpe Index method, Treynor Index, and Jensen Index. This study aims to determine whether there are differences in performance between conventional mutual funds and Islamic mutual funds. The population in this study is mutual funds managed by Investment Managers who manage both subcategories of conventional and sharia mutual fund types of shares. This type of research is comparative research. The data used are secondary data obtained from published reports by the Financial Services Authority (OJK). The results of the study using Sharpe, Treynor and Jensen methods show that the performance of conventional and Islamic equity funds has a performance above risk-free investment performance. With these three results, the performance of conventional and Islamic stock mutual funds does not have a significant difference.","author":[{"dropping-particle":"","family":"Zamzany","given":"Faizal Ridwan","non-dropping-particle":"","parse-names":false,"suffix":""},{"dropping-particle":"","family":"Setiawan","given":"Edi","non-dropping-particle":"","parse-names":false,"suffix":""}],"container-title":"Akuntabilitas","id":"ITEM-1","issue":"2","issued":{"date-parts":[["2018","6","10"]]},"page":"305-318","title":"Studi Komparatif Kinerja Reksadana Saham Konvensional dan Syariah Di Indonesia","type":"article-journal","volume":"11"},"uris":["http://www.mendeley.com/documents/?uuid=64d2078d-5c42-4d65-9d2f-4e2db3b5e916"]},{"id":"ITEM-2","itemData":{"abstract":"The purpose of his research are to know, describe and analyze the performance of comparisoon between conventional mutual fund and sharia mutual fund for investor’s investment decision based on Sharpe, Treynor, Jensen and growth of AUM (Asset Under Management). The object for this research is conventional share mutual fund, sharia share mutual fund, conventional fixed income mutual funds and sharia fixed income mutual funds. This research uses Nav data (Net Asset Value) from 2015 until 2017 with sample number 52 mutual fund which have been selected by Purposive Sampling method. This research uses the data analysis is statistical analysis in the form of average difference test using independent sample t-test method. The result of this research is no difference in analysis conventional mutual fund and Shariah mutual fund performance using Sharpe method and AUM (Asset Under Management) and have differences in analysis conventional mutual fund and Shariah mutual fund using Treynor and Jensen method.","author":[{"dropping-particle":"","family":"Indriani","given":"Riri","non-dropping-particle":"","parse-names":false,"suffix":""},{"dropping-particle":"","family":"Budyastuti","given":"Triyani","non-dropping-particle":"","parse-names":false,"suffix":""}],"container-title":"Jurnal Akuntansi, Keuangan, Pajak Dan Informasi (JAKPI)","id":"ITEM-2","issue":"1","issued":{"date-parts":[["2021"]]},"page":"63-76","title":"Analisis kinerja reksadana konvensional dan reksadana syariah untuk keputusan investasi investor","type":"article-journal","volume":"1"},"uris":["http://www.mendeley.com/documents/?uuid=248df89d-e3c2-46ff-b7dd-845109c54d6a"]},{"id":"ITEM-3","itemData":{"DOI":"10.1108/IJOEM-05-2020-0565","ISSN":"1746-8809","abstract":"Purpose This paper investigates the performance of locally focused equity mutual funds (LFEFs) in Saudi Arabia as compared with the performance of benchmark funds. More specifically, the focal question pertains to whether Shariah-compliant mutual funds (SMFs) and conventional mutual funds (CMFs) outperform their respective benchmarks. Undertaken in the context of Saudi Arabia's economic planning under Vision 2030, the study offers a foundation for determining whether and the extent to which Shariah-compliant investment strategies are competitive—a matter of considerable importance across 57 Muslim countries. Design/methodology/approach The Carhart four-factor model is applied to a sample of 39 Saudi Arabian mutual funds (MFs) using the monthly net asset value (NAV) per share. The sample period, April 2007 to October 2016, is considered in its entirety and as three sub-periods, i.e. low-, medium- and high-volatility. Findings The results show that the locally focused equity mutual funds (LFEFs) significantly outperformed their benchmark, i.e. the Tadawul All Share Index (TASI), during the full sample period and the low-volatility period. According to the empirical comparison, the CMFs also outperformed their TASI benchmark for the full sample period and the low-volatility period. However, the SMFs neither outperformed nor underperformed their S&amp;P Saudi Arabia Domestic Shariah Index benchmark. That is, for each of the SMFs included in the sample, the Jensen's alpha was insignificant for both the full sample and all three volatility sub-periods. Research limitations/implications In this paper, the four-factor model is used in the context of a single country. The results, therefore, may not be generalizable to the multi-country level in the Gulf Council Cooperation (GCC) region given differences between the member countries in terms of financial structure and economic focus. Practical implications The results reported constitute a useful guide for policymakers and faith-based-sensitive investors concerned about the Shariah compliancy of their portfolios given that there is very little difference between how CMFs and SMFs performed in the focal period. This research can be extended to include other Islamic countries in the GCC region as a basis for identifying optimal investment vehicles, i.e. those most likely to produce high returns at low risk. Originality/value The work reported in this paper is original and constitutes a valuable asset for ethnoreligiou…","author":[{"dropping-particle":"","family":"Rahahleh","given":"Naseem","non-dropping-particle":"Al","parse-names":false,"suffix":""},{"dropping-particle":"","family":"Bhatti","given":"M Ishaq","non-dropping-particle":"","parse-names":false,"suffix":""}],"container-title":"International Journal of Emerging Markets","id":"ITEM-3","issue":"ahead-of-print","issued":{"date-parts":[["2022","1","1"]]},"publisher":"Emerald Publishing Limited","title":"Empirical comparison of compliant vs conventional mutual fund performance","type":"article-journal","volume":"ahead-of-p"},"uris":["http://www.mendeley.com/documents/?uuid=380b1ffd-697f-4036-a392-32a7ffa34a2a"]}],"mendeley":{"formattedCitation":"(Al Rahahleh &amp; Bhatti, 2022; Indriani &amp; Budyastuti, 2021; Zamzany &amp; Setiawan, 2018)","plainTextFormattedCitation":"(Al Rahahleh &amp; Bhatti, 2022; Indriani &amp; Budyastuti, 2021; Zamzany &amp; Setiawan, 2018)","previouslyFormattedCitation":"(Al Rahahleh &amp; Bhatti, 2022; Indriani &amp; Budyastuti, 2021; Zamzany &amp; Setiawan, 2018)"},"properties":{"noteIndex":0},"schema":"https://github.com/citation-style-language/schema/raw/master/csl-citation.json"}</w:instrText>
      </w:r>
      <w:r w:rsidRPr="0031249E">
        <w:rPr>
          <w:rFonts w:ascii="Cambria" w:hAnsi="Cambria"/>
          <w:szCs w:val="24"/>
        </w:rPr>
        <w:fldChar w:fldCharType="separate"/>
      </w:r>
      <w:r w:rsidRPr="0031249E">
        <w:rPr>
          <w:rFonts w:ascii="Cambria" w:hAnsi="Cambria"/>
          <w:noProof/>
          <w:szCs w:val="24"/>
        </w:rPr>
        <w:t>(Al Rahahleh &amp; Bhatti, 2022; Indriani &amp; Budyastuti, 2021; Zamzany &amp; Setiawan, 2018)</w:t>
      </w:r>
      <w:r w:rsidRPr="0031249E">
        <w:rPr>
          <w:rFonts w:ascii="Cambria" w:hAnsi="Cambria"/>
          <w:szCs w:val="24"/>
        </w:rPr>
        <w:fldChar w:fldCharType="end"/>
      </w:r>
    </w:p>
    <w:p w14:paraId="62F640FE" w14:textId="77777777" w:rsidR="00241C37" w:rsidRPr="0031249E" w:rsidRDefault="00241C37" w:rsidP="001B43BA">
      <w:pPr>
        <w:spacing w:line="240" w:lineRule="auto"/>
        <w:ind w:left="0" w:right="-1" w:firstLine="720"/>
        <w:rPr>
          <w:rFonts w:ascii="Cambria" w:hAnsi="Cambria"/>
          <w:szCs w:val="24"/>
        </w:rPr>
      </w:pPr>
      <w:r w:rsidRPr="0031249E">
        <w:rPr>
          <w:rFonts w:ascii="Cambria" w:hAnsi="Cambria"/>
          <w:szCs w:val="24"/>
        </w:rPr>
        <w:t>Di sisi lain, jumlah publikasi akademik terkait ekonomi dan keuangan Islam meningkat pesat</w:t>
      </w:r>
      <w:r w:rsidRPr="0031249E">
        <w:rPr>
          <w:rFonts w:ascii="Cambria" w:hAnsi="Cambria"/>
          <w:szCs w:val="24"/>
        </w:rPr>
        <w:fldChar w:fldCharType="begin" w:fldLock="1"/>
      </w:r>
      <w:r w:rsidRPr="0031249E">
        <w:rPr>
          <w:rFonts w:ascii="Cambria" w:hAnsi="Cambria"/>
          <w:szCs w:val="24"/>
        </w:rPr>
        <w:instrText>ADDIN CSL_CITATION {"citationItems":[{"id":"ITEM-1","itemData":{"DOI":"10.6087/KCSE.213","ISSN":"22887474","abstract":"Purpose: This study aimed to analyze the bibliometric characteristics and trends of articles on Islamic economics and finance (IEF) indexed in Scopus by Indonesian authors. Methods: Data were retrieved from the Scopus database. Articles were searched in June 2020 with the limitation of Indonesian authors or affiliation. The keywords used in this study included IEF, and variations thereof, with the search filtered by Indonesian affiliation. Simple statistical methods were used, and a bibliometric analysis was conducted using VOSviewer software. This study visualized patterns of the co-occurrence of keywords, citations of documents, co-citation relationships, and bibliographic coupling. Results: The number of studies in the field of IEF increased in recent years. Articles on IEF have been published in more than 150 journals, among which the most popular was Talent Development and Excellence. Collaboration among authors reached 33 countries, most prominently Malaysia. Certain keywords, such as halal tourism, zakat, and Islamic microfinance, have become the most popular in the last few years. The bibliometric analysis showed that 24 documents had the largest citation relationship, 52 journals had the largest co-citation network, and 172 documents had the largest bibliographic coupling relationship. Conclusion: Research in the field of IEF by Indonesian authors has increased rapidly, with extensive collaboration. Halal tourism is among the most popular research topics in the last few years and is a prospective topic for future research. Moreover, the results showed that sources on IEF were widely used as references.","author":[{"dropping-particle":"","family":"Handoko","given":"Luqman Hakim","non-dropping-particle":"","parse-names":false,"suffix":""}],"container-title":"Science Editing","id":"ITEM-1","issue":"2","issued":{"date-parts":[["2020"]]},"page":"169-176","title":"Bibliometric analysis and visualization of islamic economics and finance articles indexed in scopus by Indonesian authors","type":"article-journal","volume":"7"},"uris":["http://www.mendeley.com/documents/?uuid=7f2db1db-186f-41cc-b870-83f526eaeb7c"]},{"id":"ITEM-2","itemData":{"DOI":"10.6087/kcse.232","ISSN":"22887474","abstract":"Purpose: This bibliometric study investigated the current state of documents on coronavirus disease 2019 (COVID-19) and Islamic finance published by digital object identifierequipped journals listed in the Dimensions database. The analysis focused on describing the characterictics and trends of the keywords, authors, and journals. Methods: The data analyzed were from 149 research publications in Dimensions. The search tems were “COVID” and “Islamic finance.” The searches used to establish the study dataset were last updated on August 27, 2020. Descriptive statistical methods were used, and a bibliometric analysis was conducted using Biblioshiny, an R-based app, to generate a bibliometric map. Results: The number of articles discussing the theme of COVID-19 and Islamic finance was quite large in recent months, with more than 100 articles published. The most popular keywords used were “COVID,” “food,” and “pandemic,” although there were also many keywords that related more specifically to the field of Islamic finance, namely “banks,” “markets,” “health,” “debt,” “equity,” “management,” and “stock.” Conclusion: This study provides an overview of trends in the most popular keywords, journals, and authors of articles on the topic of COVID-19 and Islamic finance, which has been quite a popular theme in recent months, thereby providing information for researchers specializing in the field of Islamic finance. This theme has the potential to continue to be developed.","author":[{"dropping-particle":"","family":"Rusydiana","given":"Aam Slamet","non-dropping-particle":"","parse-names":false,"suffix":""}],"container-title":"Science Editing","id":"ITEM-2","issue":"1","issued":{"date-parts":[["2021"]]},"page":"72-78","title":"Bibliometric analysis of journals, authors, and topics related to COVID-19 and Islamic finance listed in the Dimensions database by Biblioshiny","type":"article-journal","volume":"8"},"uris":["http://www.mendeley.com/documents/?uuid=7ad7a2ee-2237-42ce-903c-7a8c866b1b2b"]}],"mendeley":{"formattedCitation":"(Handoko, 2020; Rusydiana, 2021)","plainTextFormattedCitation":"(Handoko, 2020; Rusydiana, 2021)","previouslyFormattedCitation":"(Handoko, 2020; Rusydiana, 2021)"},"properties":{"noteIndex":0},"schema":"https://github.com/citation-style-language/schema/raw/master/csl-citation.json"}</w:instrText>
      </w:r>
      <w:r w:rsidRPr="0031249E">
        <w:rPr>
          <w:rFonts w:ascii="Cambria" w:hAnsi="Cambria"/>
          <w:szCs w:val="24"/>
        </w:rPr>
        <w:fldChar w:fldCharType="separate"/>
      </w:r>
      <w:r w:rsidRPr="0031249E">
        <w:rPr>
          <w:rFonts w:ascii="Cambria" w:hAnsi="Cambria"/>
          <w:noProof/>
          <w:szCs w:val="24"/>
        </w:rPr>
        <w:t>(Handoko, 2020; Rusydiana, 2021)</w:t>
      </w:r>
      <w:r w:rsidRPr="0031249E">
        <w:rPr>
          <w:rFonts w:ascii="Cambria" w:hAnsi="Cambria"/>
          <w:szCs w:val="24"/>
        </w:rPr>
        <w:fldChar w:fldCharType="end"/>
      </w:r>
      <w:r w:rsidRPr="0031249E">
        <w:rPr>
          <w:rFonts w:ascii="Cambria" w:hAnsi="Cambria"/>
          <w:szCs w:val="24"/>
        </w:rPr>
        <w:t xml:space="preserve">. Meskipun banyak penelitian menggunakan bibliometrik terkait ekonomi dan keuangan Islam telah dilakukan, penelitian ini memberikan kebaruan dengan melakukan </w:t>
      </w:r>
      <w:r w:rsidRPr="0031249E">
        <w:rPr>
          <w:rFonts w:ascii="Cambria" w:hAnsi="Cambria"/>
          <w:szCs w:val="24"/>
        </w:rPr>
        <w:lastRenderedPageBreak/>
        <w:t>analisis bibliometrik untuk mengeksplorasi tren publikasi dengan tema reksa dana syariah di Indonesia. Penelitian ini mengidentifikasi penulis akademis, jurnal, dan institusi terkemuka terkait reksa dana syariah di Indonesia. Penelitian ini juga memberikan rekomendasi penelitian terkait reksa dana syariah di Indonesia kedepannya.</w:t>
      </w:r>
    </w:p>
    <w:p w14:paraId="1C2847A3" w14:textId="77777777" w:rsidR="00241C37" w:rsidRPr="0031249E" w:rsidRDefault="00241C37" w:rsidP="001B43BA">
      <w:pPr>
        <w:spacing w:line="240" w:lineRule="auto"/>
        <w:ind w:right="-1"/>
        <w:rPr>
          <w:rFonts w:ascii="Cambria" w:hAnsi="Cambria"/>
          <w:szCs w:val="24"/>
          <w:lang w:val="en-US"/>
        </w:rPr>
      </w:pPr>
    </w:p>
    <w:p w14:paraId="5050F940" w14:textId="77777777" w:rsidR="00241C37" w:rsidRPr="0031249E" w:rsidRDefault="00241C37" w:rsidP="00E677F1">
      <w:pPr>
        <w:spacing w:after="0" w:line="240" w:lineRule="auto"/>
        <w:rPr>
          <w:rFonts w:ascii="Cambria" w:hAnsi="Cambria"/>
          <w:b/>
          <w:szCs w:val="24"/>
        </w:rPr>
      </w:pPr>
      <w:r w:rsidRPr="0031249E">
        <w:rPr>
          <w:rFonts w:ascii="Cambria" w:hAnsi="Cambria"/>
          <w:b/>
          <w:szCs w:val="24"/>
        </w:rPr>
        <w:t>Tinjauan Literatur</w:t>
      </w:r>
    </w:p>
    <w:p w14:paraId="4D76FF90" w14:textId="77777777" w:rsidR="00241C37" w:rsidRPr="0031249E" w:rsidRDefault="00241C37" w:rsidP="001B43BA">
      <w:pPr>
        <w:spacing w:line="240" w:lineRule="auto"/>
        <w:ind w:right="-1"/>
        <w:rPr>
          <w:rFonts w:ascii="Cambria" w:hAnsi="Cambria"/>
          <w:szCs w:val="24"/>
          <w:lang w:val="en-US"/>
        </w:rPr>
      </w:pPr>
    </w:p>
    <w:p w14:paraId="6937260E" w14:textId="77777777" w:rsidR="00241C37" w:rsidRPr="0031249E" w:rsidRDefault="00241C37" w:rsidP="001B43BA">
      <w:pPr>
        <w:spacing w:line="240" w:lineRule="auto"/>
        <w:ind w:right="-1" w:firstLine="557"/>
        <w:rPr>
          <w:rFonts w:ascii="Cambria" w:hAnsi="Cambria"/>
          <w:bCs/>
          <w:szCs w:val="24"/>
        </w:rPr>
      </w:pPr>
      <w:r w:rsidRPr="0031249E">
        <w:rPr>
          <w:rFonts w:ascii="Cambria" w:hAnsi="Cambria"/>
          <w:bCs/>
          <w:szCs w:val="24"/>
        </w:rPr>
        <w:t>Reksa dana adalah instrumen keuangan untuk menghimpun dana dari komunitas investor secara kolektif. dana yang terkumpul akan dikelola dan diinvestasikan oleh manajer investasi (fund manager) melalui saham, obligasi, valas, atau deposito.</w:t>
      </w:r>
      <w:r w:rsidRPr="0031249E">
        <w:rPr>
          <w:rFonts w:ascii="Cambria" w:hAnsi="Cambria"/>
          <w:bCs/>
          <w:szCs w:val="24"/>
        </w:rPr>
        <w:fldChar w:fldCharType="begin" w:fldLock="1"/>
      </w:r>
      <w:r w:rsidRPr="0031249E">
        <w:rPr>
          <w:rFonts w:ascii="Cambria" w:hAnsi="Cambria"/>
          <w:bCs/>
          <w:szCs w:val="24"/>
        </w:rPr>
        <w:instrText>ADDIN CSL_CITATION {"citationItems":[{"id":"ITEM-1","itemData":{"abstract":"The paper investigates 9 Islamic mutual funds that are managed by different funds managers of Pakistan. We have examined that returns of funds are according to their level of risk. The study also investigated the performance and ability of funds managers by the help of different models, such as sharp ratio, Trenyor ratio, Jensen's Alpha and information ratio. First returns are calculated than ratios are estimated, where the results represent that Islamic funds have significant growth in previous years which indicate that in Pakistan Islamic funds are growing and investor are attracted by these funds. To check the performance of Islamic mutual funds we have first calculate the average monthly returns, net asset value and market index value. The findings that are achieved from the function of models on data are used to estimate the performance of speedily growing Pakistani Islamic Mutual Funds industry.","author":[{"dropping-particle":"","family":"Razzaq","given":"Nasir","non-dropping-particle":"","parse-names":false,"suffix":""},{"dropping-particle":"","family":"Gul","given":"Sajid","non-dropping-particle":"","parse-names":false,"suffix":""},{"dropping-particle":"","family":"Sajid","given":"Muhammad","non-dropping-particle":"","parse-names":false,"suffix":""},{"dropping-particle":"","family":"Mughal","given":"Sumra","non-dropping-particle":"","parse-names":false,"suffix":""},{"dropping-particle":"","family":"Bukhari","given":"Syeda Asma","non-dropping-particle":"","parse-names":false,"suffix":""}],"container-title":"Economics and Finance Review","id":"ITEM-1","issue":"3","issued":{"date-parts":[["2012"]]},"page":"16-25","title":"\"Performance of Islamic Mutual Funds in Pakistan\"","type":"article-journal","volume":"2"},"uris":["http://www.mendeley.com/documents/?uuid=0d03f9e4-dd8b-44c1-ae58-4a46c46f963e"]}],"mendeley":{"formattedCitation":"(Razzaq et al., 2012)","plainTextFormattedCitation":"(Razzaq et al., 2012)","previouslyFormattedCitation":"(Razzaq et al., 2012)"},"properties":{"noteIndex":0},"schema":"https://github.com/citation-style-language/schema/raw/master/csl-citation.json"}</w:instrText>
      </w:r>
      <w:r w:rsidRPr="0031249E">
        <w:rPr>
          <w:rFonts w:ascii="Cambria" w:hAnsi="Cambria"/>
          <w:bCs/>
          <w:szCs w:val="24"/>
        </w:rPr>
        <w:fldChar w:fldCharType="separate"/>
      </w:r>
      <w:r w:rsidRPr="0031249E">
        <w:rPr>
          <w:rFonts w:ascii="Cambria" w:hAnsi="Cambria"/>
          <w:bCs/>
          <w:noProof/>
          <w:szCs w:val="24"/>
        </w:rPr>
        <w:t>(Razzaq dkk., 2012)</w:t>
      </w:r>
      <w:r w:rsidRPr="0031249E">
        <w:rPr>
          <w:rFonts w:ascii="Cambria" w:hAnsi="Cambria"/>
          <w:bCs/>
          <w:szCs w:val="24"/>
        </w:rPr>
        <w:fldChar w:fldCharType="end"/>
      </w:r>
      <w:r w:rsidRPr="0031249E">
        <w:rPr>
          <w:rFonts w:ascii="Cambria" w:hAnsi="Cambria"/>
          <w:bCs/>
          <w:szCs w:val="24"/>
        </w:rPr>
        <w:t>. Pada umumnya reksa dana konvensional tidak mengenal istilah pendapatan halal dan non halal. Jika sesuai dengan ketentuan investasi yang dibuat oleh Otoritas Jasa Keuangan, manajer investasi dapat menjual reksa dana konvensional. Reksa Dana Konvensional sepenuhnya berada di bawah pengawasan Otoritas Jasa Keuangan. Hal ini akan disesuaikan dengan mekanisme pengawasan pasar dan faktor lainnya sesuai dengan kondisi perekonomian. Perhitungan keuntungan reksa dana konvensional yang dijalankan menggunakan metode pembagian keuntungan antara investor dan manajer investasi yang dihitung berdasarkan perkembangan suku bunga</w:t>
      </w:r>
      <w:r w:rsidRPr="0031249E">
        <w:rPr>
          <w:rFonts w:ascii="Cambria" w:hAnsi="Cambria"/>
          <w:bCs/>
          <w:szCs w:val="24"/>
        </w:rPr>
        <w:fldChar w:fldCharType="begin" w:fldLock="1"/>
      </w:r>
      <w:r w:rsidRPr="0031249E">
        <w:rPr>
          <w:rFonts w:ascii="Cambria" w:hAnsi="Cambria"/>
          <w:bCs/>
          <w:szCs w:val="24"/>
        </w:rPr>
        <w:instrText>ADDIN CSL_CITATION {"citationItems":[{"id":"ITEM-1","itemData":{"DOI":"10.52131/jom.2021.0301.0026","ISSN":"2709-8443","abstract":"This study aims to determine the stock selection ability and market timing ability of mutual fund managers, focusing on conventional funds and Islamic funds in Pakistan.  Although there has been significant growth in the number and assets of mutual funds in recent years, few studies measure the performance of mutual funds managers. The scarcity of existing literature motivates this study. In this study, two models are used to measure the stock selection and market timing on a sample of conventional mutual funds and Islamic mutual funds over 2010 and 2019 using annual returns. Overall, the results indicate that the performance study of conventional mutual funds and Islamic mutual funds indicates that manager performance is not superior in all three portfolios, i.e., conventional funds, Islamic funds, and overall funds in over sample period. This also indicates that both Conventional and Islamic fund managers do not outperform the market (KSE 100 index). Thus, there is a lack of market timing ability. Using Tranoy and mazuy and Jansen models found a lack of stock selection and market timing ability of mutual fund managers in Pakistani mutual funds. In this study, I have applied only two models to examine both the timing and selection ability of conventional and Islamic Pakistani equity funds. For future possibilities, the study suggests adopting several methods and approaches like the TMFF3 model and HM-FF3 model, making the study more comprehensive and accurate than this research.","author":[{"dropping-particle":"","family":"Sanaullah","given":"Sanaullah","non-dropping-particle":"","parse-names":false,"suffix":""},{"dropping-particle":"","family":"Noor","given":"Amna","non-dropping-particle":"","parse-names":false,"suffix":""},{"dropping-particle":"","family":"Khan","given":"Salleh","non-dropping-particle":"","parse-names":false,"suffix":""},{"dropping-particle":"","family":"Khan","given":"Muhammad Shahbaz","non-dropping-particle":"","parse-names":false,"suffix":""}],"container-title":"iRASD Journal of Management","id":"ITEM-1","issue":"1","issued":{"date-parts":[["2021"]]},"page":"56-68","title":"An Empirical Investigation of the Performance of Fund Managers in Pakistan","type":"article-journal","volume":"3"},"uris":["http://www.mendeley.com/documents/?uuid=1187980c-32aa-48dc-82f6-4753f788dd08"]}],"mendeley":{"formattedCitation":"(Sanaullah et al., 2021)","plainTextFormattedCitation":"(Sanaullah et al., 2021)","previouslyFormattedCitation":"(Sanaullah et al., 2021)"},"properties":{"noteIndex":0},"schema":"https://github.com/citation-style-language/schema/raw/master/csl-citation.json"}</w:instrText>
      </w:r>
      <w:r w:rsidRPr="0031249E">
        <w:rPr>
          <w:rFonts w:ascii="Cambria" w:hAnsi="Cambria"/>
          <w:bCs/>
          <w:szCs w:val="24"/>
        </w:rPr>
        <w:fldChar w:fldCharType="separate"/>
      </w:r>
      <w:r w:rsidRPr="0031249E">
        <w:rPr>
          <w:rFonts w:ascii="Cambria" w:hAnsi="Cambria"/>
          <w:bCs/>
          <w:noProof/>
          <w:szCs w:val="24"/>
        </w:rPr>
        <w:t>(Sanaullah dkk., 2021)</w:t>
      </w:r>
      <w:r w:rsidRPr="0031249E">
        <w:rPr>
          <w:rFonts w:ascii="Cambria" w:hAnsi="Cambria"/>
          <w:bCs/>
          <w:szCs w:val="24"/>
        </w:rPr>
        <w:fldChar w:fldCharType="end"/>
      </w:r>
      <w:r w:rsidRPr="0031249E">
        <w:rPr>
          <w:rFonts w:ascii="Cambria" w:hAnsi="Cambria"/>
          <w:bCs/>
          <w:szCs w:val="24"/>
        </w:rPr>
        <w:t>.</w:t>
      </w:r>
    </w:p>
    <w:p w14:paraId="47DAB87D" w14:textId="77777777" w:rsidR="00536EAE" w:rsidRPr="0031249E" w:rsidRDefault="00536EAE" w:rsidP="001B43BA">
      <w:pPr>
        <w:spacing w:line="240" w:lineRule="auto"/>
        <w:ind w:right="-1" w:firstLine="557"/>
        <w:rPr>
          <w:rFonts w:ascii="Cambria" w:hAnsi="Cambria"/>
          <w:bCs/>
          <w:szCs w:val="24"/>
        </w:rPr>
      </w:pPr>
    </w:p>
    <w:p w14:paraId="2CE46529" w14:textId="77777777" w:rsidR="00536EAE" w:rsidRPr="0031249E" w:rsidRDefault="00536EAE" w:rsidP="001B43BA">
      <w:pPr>
        <w:spacing w:line="240" w:lineRule="auto"/>
        <w:ind w:right="-1"/>
        <w:rPr>
          <w:rFonts w:ascii="Cambria" w:hAnsi="Cambria"/>
          <w:b/>
          <w:szCs w:val="24"/>
          <w:lang w:val="en-US"/>
        </w:rPr>
      </w:pPr>
      <w:r w:rsidRPr="0031249E">
        <w:rPr>
          <w:rFonts w:ascii="Cambria" w:hAnsi="Cambria"/>
          <w:b/>
          <w:szCs w:val="24"/>
        </w:rPr>
        <w:t>metode</w:t>
      </w:r>
    </w:p>
    <w:p w14:paraId="51098FE3" w14:textId="6A10A68D" w:rsidR="00536EAE" w:rsidRDefault="00536EAE" w:rsidP="001B43BA">
      <w:pPr>
        <w:spacing w:line="240" w:lineRule="auto"/>
        <w:ind w:right="-1" w:firstLine="557"/>
        <w:rPr>
          <w:rFonts w:ascii="Cambria" w:hAnsi="Cambria"/>
          <w:szCs w:val="24"/>
          <w:shd w:val="clear" w:color="auto" w:fill="FFFFFF"/>
        </w:rPr>
      </w:pPr>
      <w:r w:rsidRPr="0031249E">
        <w:rPr>
          <w:rStyle w:val="mceitemhidden"/>
          <w:rFonts w:ascii="Cambria" w:hAnsi="Cambria"/>
          <w:szCs w:val="24"/>
          <w:shd w:val="clear" w:color="auto" w:fill="FFFFFF"/>
        </w:rPr>
        <w:t>Desain penelitian ini menggunakan pendekatan kualitatif dengan analisis bibliometrik. Studi pada database Dimensions.ai untuk mengumpulkan data. Kata kunci yang digunakan dalam pencarian data adalah “Reksa Dana Syariah” DAN “Indonesia”. Studi ini meninjau 101 makalah dalam database Dimensi dari tahun 2006 hingga 2022. Studi ini menggunakan Biblioshiny berdasarkan RStudio untuk menganalisis data. Hasilnya mengidentifikasi yang terkemuka</w:t>
      </w:r>
      <w:r w:rsidRPr="0031249E">
        <w:rPr>
          <w:rFonts w:ascii="Cambria" w:hAnsi="Cambria"/>
          <w:szCs w:val="24"/>
          <w:shd w:val="clear" w:color="auto" w:fill="FFFFFF"/>
        </w:rPr>
        <w:t>penulis akademis, jurnal, dan lembaga terkait reksa dana syariah di Indonesia.</w:t>
      </w:r>
    </w:p>
    <w:p w14:paraId="1BD24EC2" w14:textId="77777777" w:rsidR="009404CB" w:rsidRPr="0031249E" w:rsidRDefault="009404CB" w:rsidP="001B43BA">
      <w:pPr>
        <w:spacing w:line="240" w:lineRule="auto"/>
        <w:ind w:right="-1" w:firstLine="557"/>
        <w:rPr>
          <w:rFonts w:ascii="Cambria" w:hAnsi="Cambria"/>
          <w:b/>
          <w:szCs w:val="24"/>
          <w:lang w:val="en-US"/>
        </w:rPr>
      </w:pPr>
    </w:p>
    <w:p w14:paraId="76E1E7EE" w14:textId="77777777" w:rsidR="00536EAE" w:rsidRPr="0031249E" w:rsidRDefault="00536EAE" w:rsidP="001B43BA">
      <w:pPr>
        <w:spacing w:line="240" w:lineRule="auto"/>
        <w:ind w:right="-1"/>
        <w:rPr>
          <w:rFonts w:ascii="Cambria" w:hAnsi="Cambria"/>
          <w:b/>
          <w:szCs w:val="24"/>
        </w:rPr>
      </w:pPr>
      <w:r w:rsidRPr="0031249E">
        <w:rPr>
          <w:rFonts w:ascii="Cambria" w:hAnsi="Cambria"/>
          <w:b/>
          <w:szCs w:val="24"/>
          <w:lang w:val="id-ID"/>
        </w:rPr>
        <w:t>Hasil dan Diskusi</w:t>
      </w:r>
    </w:p>
    <w:p w14:paraId="538B87F3" w14:textId="77777777" w:rsidR="00536EAE" w:rsidRPr="0031249E" w:rsidRDefault="00536EAE" w:rsidP="001B43BA">
      <w:pPr>
        <w:spacing w:after="0" w:line="240" w:lineRule="auto"/>
        <w:rPr>
          <w:rFonts w:ascii="Cambria" w:hAnsi="Cambria"/>
          <w:b/>
          <w:szCs w:val="24"/>
        </w:rPr>
      </w:pPr>
      <w:r w:rsidRPr="0031249E">
        <w:rPr>
          <w:rFonts w:ascii="Cambria" w:hAnsi="Cambria"/>
          <w:b/>
          <w:szCs w:val="24"/>
        </w:rPr>
        <w:t>Informasi Umum</w:t>
      </w:r>
    </w:p>
    <w:p w14:paraId="2AEB6419" w14:textId="77777777" w:rsidR="00536EAE" w:rsidRPr="0031249E" w:rsidRDefault="00536EAE" w:rsidP="001B43BA">
      <w:pPr>
        <w:spacing w:line="240" w:lineRule="auto"/>
        <w:ind w:right="-1" w:firstLine="557"/>
        <w:rPr>
          <w:rFonts w:ascii="Cambria" w:hAnsi="Cambria"/>
          <w:bCs/>
          <w:szCs w:val="24"/>
        </w:rPr>
      </w:pPr>
      <w:r w:rsidRPr="0031249E">
        <w:rPr>
          <w:rFonts w:ascii="Cambria" w:hAnsi="Cambria"/>
          <w:bCs/>
          <w:szCs w:val="24"/>
        </w:rPr>
        <w:t>Studi ini membuktikan informasi umum pada data masukan yang dikumpulkan dari literatur. Tabel 1 menjelaskan fitur utama dari data input yang digunakan untuk analisis. Ada 101 artikel penelitian yang terkait dengan 76 sumber. Kami melihat bahwa dari 189 penulis, hanya 30 penulis yang menerbitkan artikel sebagai penulis tunggal, yang secara statistik meratifikasi tren peningkatan kerjasama karya ilmiah di reksa dana syariah di Indonesia.</w:t>
      </w:r>
    </w:p>
    <w:p w14:paraId="236BDF5C" w14:textId="77777777" w:rsidR="00536EAE" w:rsidRPr="0031249E" w:rsidRDefault="00536EAE" w:rsidP="001B43BA">
      <w:pPr>
        <w:autoSpaceDE w:val="0"/>
        <w:autoSpaceDN w:val="0"/>
        <w:adjustRightInd w:val="0"/>
        <w:spacing w:line="240" w:lineRule="auto"/>
        <w:ind w:left="360"/>
        <w:rPr>
          <w:rFonts w:ascii="Cambria" w:hAnsi="Cambria"/>
          <w:noProof/>
          <w:szCs w:val="24"/>
        </w:rPr>
      </w:pPr>
      <w:r w:rsidRPr="0031249E">
        <w:rPr>
          <w:rFonts w:ascii="Cambria" w:hAnsi="Cambria"/>
          <w:b/>
          <w:bCs/>
          <w:noProof/>
          <w:szCs w:val="24"/>
        </w:rPr>
        <w:t>Tabel 1.</w:t>
      </w:r>
      <w:r w:rsidRPr="0031249E">
        <w:rPr>
          <w:rFonts w:ascii="Cambria" w:hAnsi="Cambria"/>
          <w:noProof/>
          <w:szCs w:val="24"/>
        </w:rPr>
        <w:t xml:space="preserve"> </w:t>
      </w:r>
    </w:p>
    <w:p w14:paraId="7C64A2D0" w14:textId="77777777" w:rsidR="00536EAE" w:rsidRPr="0031249E" w:rsidRDefault="00536EAE" w:rsidP="001B43BA">
      <w:pPr>
        <w:autoSpaceDE w:val="0"/>
        <w:autoSpaceDN w:val="0"/>
        <w:adjustRightInd w:val="0"/>
        <w:spacing w:line="240" w:lineRule="auto"/>
        <w:ind w:left="360"/>
        <w:rPr>
          <w:rFonts w:ascii="Cambria" w:hAnsi="Cambria"/>
          <w:noProof/>
          <w:szCs w:val="24"/>
        </w:rPr>
      </w:pPr>
      <w:r w:rsidRPr="0031249E">
        <w:rPr>
          <w:rFonts w:ascii="Cambria" w:hAnsi="Cambria"/>
          <w:i/>
          <w:iCs/>
          <w:noProof/>
          <w:szCs w:val="24"/>
        </w:rPr>
        <w:t>Informasi Umum</w:t>
      </w:r>
    </w:p>
    <w:tbl>
      <w:tblPr>
        <w:tblStyle w:val="PlainTable21"/>
        <w:tblW w:w="6219" w:type="dxa"/>
        <w:tblInd w:w="268" w:type="dxa"/>
        <w:tblLook w:val="04A0" w:firstRow="1" w:lastRow="0" w:firstColumn="1" w:lastColumn="0" w:noHBand="0" w:noVBand="1"/>
      </w:tblPr>
      <w:tblGrid>
        <w:gridCol w:w="4660"/>
        <w:gridCol w:w="1559"/>
      </w:tblGrid>
      <w:tr w:rsidR="00536EAE" w:rsidRPr="0031249E" w14:paraId="7B8B6994" w14:textId="77777777" w:rsidTr="00536E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0" w:type="dxa"/>
          </w:tcPr>
          <w:p w14:paraId="3BC6EFF6" w14:textId="77777777" w:rsidR="00536EAE" w:rsidRPr="0031249E" w:rsidRDefault="00536EAE" w:rsidP="001B43BA">
            <w:pPr>
              <w:tabs>
                <w:tab w:val="left" w:pos="326"/>
              </w:tabs>
              <w:autoSpaceDE w:val="0"/>
              <w:autoSpaceDN w:val="0"/>
              <w:adjustRightInd w:val="0"/>
              <w:spacing w:line="240" w:lineRule="auto"/>
              <w:rPr>
                <w:rFonts w:ascii="Cambria" w:hAnsi="Cambria"/>
                <w:b w:val="0"/>
                <w:bCs w:val="0"/>
                <w:noProof/>
                <w:szCs w:val="24"/>
              </w:rPr>
            </w:pPr>
            <w:r w:rsidRPr="0031249E">
              <w:rPr>
                <w:rFonts w:ascii="Cambria" w:hAnsi="Cambria"/>
                <w:b w:val="0"/>
                <w:bCs w:val="0"/>
                <w:noProof/>
                <w:szCs w:val="24"/>
              </w:rPr>
              <w:t>Keterangan</w:t>
            </w:r>
          </w:p>
        </w:tc>
        <w:tc>
          <w:tcPr>
            <w:tcW w:w="1559" w:type="dxa"/>
          </w:tcPr>
          <w:p w14:paraId="59F08782" w14:textId="77777777" w:rsidR="00536EAE" w:rsidRPr="0031249E" w:rsidRDefault="00536EAE" w:rsidP="001B43BA">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noProof/>
                <w:szCs w:val="24"/>
              </w:rPr>
            </w:pPr>
            <w:r w:rsidRPr="0031249E">
              <w:rPr>
                <w:rFonts w:ascii="Cambria" w:hAnsi="Cambria"/>
                <w:b w:val="0"/>
                <w:bCs w:val="0"/>
                <w:noProof/>
                <w:szCs w:val="24"/>
              </w:rPr>
              <w:t>hasil</w:t>
            </w:r>
          </w:p>
        </w:tc>
      </w:tr>
      <w:tr w:rsidR="00536EAE" w:rsidRPr="0031249E" w14:paraId="003705B7" w14:textId="77777777" w:rsidTr="00536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0" w:type="dxa"/>
          </w:tcPr>
          <w:p w14:paraId="2E5E4D6D" w14:textId="77777777" w:rsidR="00536EAE" w:rsidRPr="0031249E" w:rsidRDefault="00536EAE" w:rsidP="001B43BA">
            <w:pPr>
              <w:autoSpaceDE w:val="0"/>
              <w:autoSpaceDN w:val="0"/>
              <w:adjustRightInd w:val="0"/>
              <w:spacing w:line="240" w:lineRule="auto"/>
              <w:rPr>
                <w:rFonts w:ascii="Cambria" w:hAnsi="Cambria"/>
                <w:i/>
                <w:iCs/>
                <w:noProof/>
                <w:szCs w:val="24"/>
              </w:rPr>
            </w:pPr>
            <w:r w:rsidRPr="0031249E">
              <w:rPr>
                <w:rFonts w:ascii="Cambria" w:hAnsi="Cambria"/>
                <w:b w:val="0"/>
                <w:bCs w:val="0"/>
                <w:i/>
                <w:iCs/>
                <w:noProof/>
                <w:szCs w:val="24"/>
              </w:rPr>
              <w:t>Informasi utama tentang data</w:t>
            </w:r>
          </w:p>
          <w:p w14:paraId="72CD0F68" w14:textId="77777777" w:rsidR="00536EAE" w:rsidRPr="0031249E" w:rsidRDefault="00536EAE" w:rsidP="001B43BA">
            <w:pPr>
              <w:autoSpaceDE w:val="0"/>
              <w:autoSpaceDN w:val="0"/>
              <w:adjustRightInd w:val="0"/>
              <w:spacing w:line="240" w:lineRule="auto"/>
              <w:rPr>
                <w:rFonts w:ascii="Cambria" w:hAnsi="Cambria"/>
                <w:noProof/>
                <w:szCs w:val="24"/>
              </w:rPr>
            </w:pPr>
            <w:r w:rsidRPr="0031249E">
              <w:rPr>
                <w:rFonts w:ascii="Cambria" w:hAnsi="Cambria"/>
                <w:b w:val="0"/>
                <w:bCs w:val="0"/>
                <w:noProof/>
                <w:szCs w:val="24"/>
              </w:rPr>
              <w:lastRenderedPageBreak/>
              <w:t>Rentang waktu</w:t>
            </w:r>
          </w:p>
          <w:p w14:paraId="3FD50D8E" w14:textId="77777777" w:rsidR="00536EAE" w:rsidRPr="0031249E" w:rsidRDefault="00536EAE" w:rsidP="001B43BA">
            <w:pPr>
              <w:autoSpaceDE w:val="0"/>
              <w:autoSpaceDN w:val="0"/>
              <w:adjustRightInd w:val="0"/>
              <w:spacing w:line="240" w:lineRule="auto"/>
              <w:rPr>
                <w:rFonts w:ascii="Cambria" w:hAnsi="Cambria"/>
                <w:noProof/>
                <w:szCs w:val="24"/>
              </w:rPr>
            </w:pPr>
            <w:r w:rsidRPr="0031249E">
              <w:rPr>
                <w:rFonts w:ascii="Cambria" w:hAnsi="Cambria"/>
                <w:b w:val="0"/>
                <w:bCs w:val="0"/>
                <w:noProof/>
                <w:szCs w:val="24"/>
              </w:rPr>
              <w:t>Sumber (Jurnal, Buku, dll)</w:t>
            </w:r>
          </w:p>
          <w:p w14:paraId="6B75D554" w14:textId="77777777" w:rsidR="00536EAE" w:rsidRPr="0031249E" w:rsidRDefault="00536EAE" w:rsidP="001B43BA">
            <w:pPr>
              <w:autoSpaceDE w:val="0"/>
              <w:autoSpaceDN w:val="0"/>
              <w:adjustRightInd w:val="0"/>
              <w:spacing w:line="240" w:lineRule="auto"/>
              <w:rPr>
                <w:rFonts w:ascii="Cambria" w:hAnsi="Cambria"/>
                <w:noProof/>
                <w:szCs w:val="24"/>
              </w:rPr>
            </w:pPr>
            <w:r w:rsidRPr="0031249E">
              <w:rPr>
                <w:rFonts w:ascii="Cambria" w:hAnsi="Cambria"/>
                <w:b w:val="0"/>
                <w:bCs w:val="0"/>
                <w:noProof/>
                <w:szCs w:val="24"/>
              </w:rPr>
              <w:t>Dokumen</w:t>
            </w:r>
          </w:p>
          <w:p w14:paraId="2285E211" w14:textId="77777777" w:rsidR="00536EAE" w:rsidRPr="0031249E" w:rsidRDefault="00536EAE" w:rsidP="001B43BA">
            <w:pPr>
              <w:autoSpaceDE w:val="0"/>
              <w:autoSpaceDN w:val="0"/>
              <w:adjustRightInd w:val="0"/>
              <w:spacing w:line="240" w:lineRule="auto"/>
              <w:rPr>
                <w:rFonts w:ascii="Cambria" w:hAnsi="Cambria"/>
                <w:noProof/>
                <w:szCs w:val="24"/>
              </w:rPr>
            </w:pPr>
            <w:r w:rsidRPr="0031249E">
              <w:rPr>
                <w:rFonts w:ascii="Cambria" w:hAnsi="Cambria"/>
                <w:b w:val="0"/>
                <w:bCs w:val="0"/>
                <w:noProof/>
                <w:szCs w:val="24"/>
              </w:rPr>
              <w:t>Rata-rata tahun dari publikasi</w:t>
            </w:r>
          </w:p>
          <w:p w14:paraId="053E650B" w14:textId="77777777" w:rsidR="00536EAE" w:rsidRPr="0031249E" w:rsidRDefault="00536EAE" w:rsidP="001B43BA">
            <w:pPr>
              <w:autoSpaceDE w:val="0"/>
              <w:autoSpaceDN w:val="0"/>
              <w:adjustRightInd w:val="0"/>
              <w:spacing w:line="240" w:lineRule="auto"/>
              <w:rPr>
                <w:rFonts w:ascii="Cambria" w:hAnsi="Cambria"/>
                <w:noProof/>
                <w:szCs w:val="24"/>
              </w:rPr>
            </w:pPr>
            <w:r w:rsidRPr="0031249E">
              <w:rPr>
                <w:rFonts w:ascii="Cambria" w:hAnsi="Cambria"/>
                <w:b w:val="0"/>
                <w:bCs w:val="0"/>
                <w:noProof/>
                <w:szCs w:val="24"/>
              </w:rPr>
              <w:t>Kutipan rata-rata per dokumen</w:t>
            </w:r>
          </w:p>
          <w:p w14:paraId="45B719AF" w14:textId="77777777" w:rsidR="00536EAE" w:rsidRPr="0031249E" w:rsidRDefault="00536EAE" w:rsidP="001B43BA">
            <w:pPr>
              <w:autoSpaceDE w:val="0"/>
              <w:autoSpaceDN w:val="0"/>
              <w:adjustRightInd w:val="0"/>
              <w:spacing w:line="240" w:lineRule="auto"/>
              <w:rPr>
                <w:rFonts w:ascii="Cambria" w:hAnsi="Cambria"/>
                <w:noProof/>
                <w:szCs w:val="24"/>
              </w:rPr>
            </w:pPr>
            <w:r w:rsidRPr="0031249E">
              <w:rPr>
                <w:rFonts w:ascii="Cambria" w:hAnsi="Cambria"/>
                <w:b w:val="0"/>
                <w:bCs w:val="0"/>
                <w:noProof/>
                <w:szCs w:val="24"/>
              </w:rPr>
              <w:t>Kutipan rata-rata per tahun per dokumen</w:t>
            </w:r>
          </w:p>
          <w:p w14:paraId="1C611B61" w14:textId="77777777" w:rsidR="00536EAE" w:rsidRPr="0031249E" w:rsidRDefault="00536EAE" w:rsidP="001B43BA">
            <w:pPr>
              <w:autoSpaceDE w:val="0"/>
              <w:autoSpaceDN w:val="0"/>
              <w:adjustRightInd w:val="0"/>
              <w:spacing w:line="240" w:lineRule="auto"/>
              <w:rPr>
                <w:rFonts w:ascii="Cambria" w:hAnsi="Cambria"/>
                <w:b w:val="0"/>
                <w:bCs w:val="0"/>
                <w:noProof/>
                <w:szCs w:val="24"/>
              </w:rPr>
            </w:pPr>
            <w:r w:rsidRPr="0031249E">
              <w:rPr>
                <w:rFonts w:ascii="Cambria" w:hAnsi="Cambria"/>
                <w:b w:val="0"/>
                <w:bCs w:val="0"/>
                <w:noProof/>
                <w:szCs w:val="24"/>
              </w:rPr>
              <w:t>Referensi</w:t>
            </w:r>
          </w:p>
        </w:tc>
        <w:tc>
          <w:tcPr>
            <w:tcW w:w="1559" w:type="dxa"/>
          </w:tcPr>
          <w:p w14:paraId="546412AE" w14:textId="77777777" w:rsidR="00536EAE" w:rsidRPr="0031249E" w:rsidRDefault="00536EAE" w:rsidP="001B43BA">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noProof/>
                <w:szCs w:val="24"/>
              </w:rPr>
            </w:pPr>
          </w:p>
          <w:p w14:paraId="1E2D9121" w14:textId="77777777" w:rsidR="00536EAE" w:rsidRPr="0031249E" w:rsidRDefault="00536EAE" w:rsidP="001B43BA">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noProof/>
                <w:szCs w:val="24"/>
              </w:rPr>
            </w:pPr>
            <w:r w:rsidRPr="0031249E">
              <w:rPr>
                <w:rFonts w:ascii="Cambria" w:hAnsi="Cambria"/>
                <w:noProof/>
                <w:szCs w:val="24"/>
              </w:rPr>
              <w:lastRenderedPageBreak/>
              <w:t>2006-2022</w:t>
            </w:r>
          </w:p>
          <w:p w14:paraId="55255263" w14:textId="77777777" w:rsidR="00536EAE" w:rsidRPr="0031249E" w:rsidRDefault="00536EAE" w:rsidP="001B43BA">
            <w:pPr>
              <w:autoSpaceDE w:val="0"/>
              <w:autoSpaceDN w:val="0"/>
              <w:adjustRightInd w:val="0"/>
              <w:spacing w:line="240" w:lineRule="auto"/>
              <w:ind w:firstLine="461"/>
              <w:cnfStyle w:val="000000100000" w:firstRow="0" w:lastRow="0" w:firstColumn="0" w:lastColumn="0" w:oddVBand="0" w:evenVBand="0" w:oddHBand="1" w:evenHBand="0" w:firstRowFirstColumn="0" w:firstRowLastColumn="0" w:lastRowFirstColumn="0" w:lastRowLastColumn="0"/>
              <w:rPr>
                <w:rFonts w:ascii="Cambria" w:hAnsi="Cambria"/>
                <w:noProof/>
                <w:szCs w:val="24"/>
              </w:rPr>
            </w:pPr>
            <w:r w:rsidRPr="0031249E">
              <w:rPr>
                <w:rFonts w:ascii="Cambria" w:hAnsi="Cambria"/>
                <w:noProof/>
                <w:szCs w:val="24"/>
              </w:rPr>
              <w:t>76</w:t>
            </w:r>
          </w:p>
          <w:p w14:paraId="13D69109" w14:textId="77777777" w:rsidR="00536EAE" w:rsidRPr="0031249E" w:rsidRDefault="00536EAE" w:rsidP="001B43BA">
            <w:pPr>
              <w:autoSpaceDE w:val="0"/>
              <w:autoSpaceDN w:val="0"/>
              <w:adjustRightInd w:val="0"/>
              <w:spacing w:line="240" w:lineRule="auto"/>
              <w:ind w:firstLine="319"/>
              <w:cnfStyle w:val="000000100000" w:firstRow="0" w:lastRow="0" w:firstColumn="0" w:lastColumn="0" w:oddVBand="0" w:evenVBand="0" w:oddHBand="1" w:evenHBand="0" w:firstRowFirstColumn="0" w:firstRowLastColumn="0" w:lastRowFirstColumn="0" w:lastRowLastColumn="0"/>
              <w:rPr>
                <w:rFonts w:ascii="Cambria" w:hAnsi="Cambria"/>
                <w:noProof/>
                <w:szCs w:val="24"/>
              </w:rPr>
            </w:pPr>
            <w:r w:rsidRPr="0031249E">
              <w:rPr>
                <w:rFonts w:ascii="Cambria" w:hAnsi="Cambria"/>
                <w:noProof/>
                <w:szCs w:val="24"/>
              </w:rPr>
              <w:t>101</w:t>
            </w:r>
          </w:p>
          <w:p w14:paraId="2986BD6B" w14:textId="77777777" w:rsidR="00536EAE" w:rsidRPr="0031249E" w:rsidRDefault="00536EAE" w:rsidP="001B43BA">
            <w:pPr>
              <w:autoSpaceDE w:val="0"/>
              <w:autoSpaceDN w:val="0"/>
              <w:adjustRightInd w:val="0"/>
              <w:spacing w:line="240" w:lineRule="auto"/>
              <w:ind w:firstLine="602"/>
              <w:cnfStyle w:val="000000100000" w:firstRow="0" w:lastRow="0" w:firstColumn="0" w:lastColumn="0" w:oddVBand="0" w:evenVBand="0" w:oddHBand="1" w:evenHBand="0" w:firstRowFirstColumn="0" w:firstRowLastColumn="0" w:lastRowFirstColumn="0" w:lastRowLastColumn="0"/>
              <w:rPr>
                <w:rFonts w:ascii="Cambria" w:hAnsi="Cambria"/>
                <w:noProof/>
                <w:szCs w:val="24"/>
              </w:rPr>
            </w:pPr>
            <w:r w:rsidRPr="0031249E">
              <w:rPr>
                <w:rFonts w:ascii="Cambria" w:hAnsi="Cambria"/>
                <w:noProof/>
                <w:szCs w:val="24"/>
              </w:rPr>
              <w:t>3.39</w:t>
            </w:r>
          </w:p>
          <w:p w14:paraId="311D7FB9" w14:textId="77777777" w:rsidR="00536EAE" w:rsidRPr="0031249E" w:rsidRDefault="00536EAE" w:rsidP="001B43BA">
            <w:pPr>
              <w:autoSpaceDE w:val="0"/>
              <w:autoSpaceDN w:val="0"/>
              <w:adjustRightInd w:val="0"/>
              <w:spacing w:line="240" w:lineRule="auto"/>
              <w:ind w:firstLine="602"/>
              <w:cnfStyle w:val="000000100000" w:firstRow="0" w:lastRow="0" w:firstColumn="0" w:lastColumn="0" w:oddVBand="0" w:evenVBand="0" w:oddHBand="1" w:evenHBand="0" w:firstRowFirstColumn="0" w:firstRowLastColumn="0" w:lastRowFirstColumn="0" w:lastRowLastColumn="0"/>
              <w:rPr>
                <w:rFonts w:ascii="Cambria" w:hAnsi="Cambria"/>
                <w:noProof/>
                <w:szCs w:val="24"/>
              </w:rPr>
            </w:pPr>
            <w:r w:rsidRPr="0031249E">
              <w:rPr>
                <w:rFonts w:ascii="Cambria" w:hAnsi="Cambria"/>
                <w:noProof/>
                <w:szCs w:val="24"/>
              </w:rPr>
              <w:t>0,6436</w:t>
            </w:r>
          </w:p>
          <w:p w14:paraId="53B9AB7B" w14:textId="77777777" w:rsidR="00536EAE" w:rsidRPr="0031249E" w:rsidRDefault="00536EAE" w:rsidP="001B43BA">
            <w:pPr>
              <w:autoSpaceDE w:val="0"/>
              <w:autoSpaceDN w:val="0"/>
              <w:adjustRightInd w:val="0"/>
              <w:spacing w:line="240" w:lineRule="auto"/>
              <w:ind w:firstLine="602"/>
              <w:cnfStyle w:val="000000100000" w:firstRow="0" w:lastRow="0" w:firstColumn="0" w:lastColumn="0" w:oddVBand="0" w:evenVBand="0" w:oddHBand="1" w:evenHBand="0" w:firstRowFirstColumn="0" w:firstRowLastColumn="0" w:lastRowFirstColumn="0" w:lastRowLastColumn="0"/>
              <w:rPr>
                <w:rFonts w:ascii="Cambria" w:hAnsi="Cambria"/>
                <w:noProof/>
                <w:szCs w:val="24"/>
              </w:rPr>
            </w:pPr>
            <w:r w:rsidRPr="0031249E">
              <w:rPr>
                <w:rFonts w:ascii="Cambria" w:hAnsi="Cambria"/>
                <w:noProof/>
                <w:szCs w:val="24"/>
              </w:rPr>
              <w:t>0.1023</w:t>
            </w:r>
          </w:p>
          <w:p w14:paraId="14F46E45" w14:textId="77777777" w:rsidR="00536EAE" w:rsidRPr="0031249E" w:rsidRDefault="00536EAE" w:rsidP="001B43BA">
            <w:pPr>
              <w:autoSpaceDE w:val="0"/>
              <w:autoSpaceDN w:val="0"/>
              <w:adjustRightInd w:val="0"/>
              <w:spacing w:line="240" w:lineRule="auto"/>
              <w:ind w:firstLine="319"/>
              <w:cnfStyle w:val="000000100000" w:firstRow="0" w:lastRow="0" w:firstColumn="0" w:lastColumn="0" w:oddVBand="0" w:evenVBand="0" w:oddHBand="1" w:evenHBand="0" w:firstRowFirstColumn="0" w:firstRowLastColumn="0" w:lastRowFirstColumn="0" w:lastRowLastColumn="0"/>
              <w:rPr>
                <w:rFonts w:ascii="Cambria" w:hAnsi="Cambria"/>
                <w:noProof/>
                <w:szCs w:val="24"/>
              </w:rPr>
            </w:pPr>
            <w:r w:rsidRPr="0031249E">
              <w:rPr>
                <w:rFonts w:ascii="Cambria" w:hAnsi="Cambria"/>
                <w:noProof/>
                <w:szCs w:val="24"/>
              </w:rPr>
              <w:t>283</w:t>
            </w:r>
          </w:p>
        </w:tc>
      </w:tr>
      <w:tr w:rsidR="00536EAE" w:rsidRPr="0031249E" w14:paraId="45FAB5DF" w14:textId="77777777" w:rsidTr="00536EAE">
        <w:tc>
          <w:tcPr>
            <w:cnfStyle w:val="001000000000" w:firstRow="0" w:lastRow="0" w:firstColumn="1" w:lastColumn="0" w:oddVBand="0" w:evenVBand="0" w:oddHBand="0" w:evenHBand="0" w:firstRowFirstColumn="0" w:firstRowLastColumn="0" w:lastRowFirstColumn="0" w:lastRowLastColumn="0"/>
            <w:tcW w:w="4660" w:type="dxa"/>
          </w:tcPr>
          <w:p w14:paraId="59E2FD3E" w14:textId="77777777" w:rsidR="00536EAE" w:rsidRPr="0031249E" w:rsidRDefault="00536EAE" w:rsidP="001B43BA">
            <w:pPr>
              <w:autoSpaceDE w:val="0"/>
              <w:autoSpaceDN w:val="0"/>
              <w:adjustRightInd w:val="0"/>
              <w:spacing w:line="240" w:lineRule="auto"/>
              <w:rPr>
                <w:rFonts w:ascii="Cambria" w:hAnsi="Cambria"/>
                <w:bCs w:val="0"/>
                <w:i/>
                <w:iCs/>
                <w:noProof/>
                <w:szCs w:val="24"/>
              </w:rPr>
            </w:pPr>
            <w:r w:rsidRPr="0031249E">
              <w:rPr>
                <w:rFonts w:ascii="Cambria" w:hAnsi="Cambria"/>
                <w:b w:val="0"/>
                <w:i/>
                <w:iCs/>
                <w:noProof/>
                <w:szCs w:val="24"/>
              </w:rPr>
              <w:lastRenderedPageBreak/>
              <w:t>Pengarang</w:t>
            </w:r>
          </w:p>
          <w:p w14:paraId="741A2377" w14:textId="77777777" w:rsidR="00536EAE" w:rsidRPr="0031249E" w:rsidRDefault="00536EAE" w:rsidP="001B43BA">
            <w:pPr>
              <w:autoSpaceDE w:val="0"/>
              <w:autoSpaceDN w:val="0"/>
              <w:adjustRightInd w:val="0"/>
              <w:spacing w:line="240" w:lineRule="auto"/>
              <w:rPr>
                <w:rFonts w:ascii="Cambria" w:hAnsi="Cambria"/>
                <w:bCs w:val="0"/>
                <w:noProof/>
                <w:szCs w:val="24"/>
              </w:rPr>
            </w:pPr>
            <w:r w:rsidRPr="0031249E">
              <w:rPr>
                <w:rFonts w:ascii="Cambria" w:hAnsi="Cambria"/>
                <w:b w:val="0"/>
                <w:noProof/>
                <w:szCs w:val="24"/>
              </w:rPr>
              <w:t>Pengarang</w:t>
            </w:r>
          </w:p>
          <w:p w14:paraId="29CF82B2" w14:textId="77777777" w:rsidR="00536EAE" w:rsidRPr="0031249E" w:rsidRDefault="00536EAE" w:rsidP="001B43BA">
            <w:pPr>
              <w:autoSpaceDE w:val="0"/>
              <w:autoSpaceDN w:val="0"/>
              <w:adjustRightInd w:val="0"/>
              <w:spacing w:line="240" w:lineRule="auto"/>
              <w:rPr>
                <w:rFonts w:ascii="Cambria" w:hAnsi="Cambria"/>
                <w:b w:val="0"/>
                <w:bCs w:val="0"/>
                <w:noProof/>
                <w:szCs w:val="24"/>
              </w:rPr>
            </w:pPr>
            <w:r w:rsidRPr="0031249E">
              <w:rPr>
                <w:rFonts w:ascii="Cambria" w:hAnsi="Cambria"/>
                <w:b w:val="0"/>
                <w:bCs w:val="0"/>
                <w:noProof/>
                <w:szCs w:val="24"/>
              </w:rPr>
              <w:t>Penampilan Penulis</w:t>
            </w:r>
          </w:p>
          <w:p w14:paraId="18D5A0E3" w14:textId="77777777" w:rsidR="00536EAE" w:rsidRPr="0031249E" w:rsidRDefault="00536EAE" w:rsidP="001B43BA">
            <w:pPr>
              <w:autoSpaceDE w:val="0"/>
              <w:autoSpaceDN w:val="0"/>
              <w:adjustRightInd w:val="0"/>
              <w:spacing w:line="240" w:lineRule="auto"/>
              <w:rPr>
                <w:rFonts w:ascii="Cambria" w:hAnsi="Cambria"/>
                <w:bCs w:val="0"/>
                <w:noProof/>
                <w:szCs w:val="24"/>
              </w:rPr>
            </w:pPr>
            <w:r w:rsidRPr="0031249E">
              <w:rPr>
                <w:rFonts w:ascii="Cambria" w:hAnsi="Cambria"/>
                <w:b w:val="0"/>
                <w:noProof/>
                <w:szCs w:val="24"/>
              </w:rPr>
              <w:t>Penulis dokumen dengan penulis tunggal</w:t>
            </w:r>
          </w:p>
          <w:p w14:paraId="5689DD1C" w14:textId="77777777" w:rsidR="00536EAE" w:rsidRPr="0031249E" w:rsidRDefault="00536EAE" w:rsidP="001B43BA">
            <w:pPr>
              <w:autoSpaceDE w:val="0"/>
              <w:autoSpaceDN w:val="0"/>
              <w:adjustRightInd w:val="0"/>
              <w:spacing w:line="240" w:lineRule="auto"/>
              <w:rPr>
                <w:rFonts w:ascii="Cambria" w:hAnsi="Cambria"/>
                <w:b w:val="0"/>
                <w:noProof/>
                <w:szCs w:val="24"/>
              </w:rPr>
            </w:pPr>
            <w:r w:rsidRPr="0031249E">
              <w:rPr>
                <w:rFonts w:ascii="Cambria" w:hAnsi="Cambria"/>
                <w:b w:val="0"/>
                <w:noProof/>
                <w:szCs w:val="24"/>
              </w:rPr>
              <w:t>Penulis dokumen multi-penulis</w:t>
            </w:r>
          </w:p>
        </w:tc>
        <w:tc>
          <w:tcPr>
            <w:tcW w:w="1559" w:type="dxa"/>
          </w:tcPr>
          <w:p w14:paraId="01F4614E" w14:textId="77777777" w:rsidR="00536EAE" w:rsidRPr="0031249E" w:rsidRDefault="00536EAE" w:rsidP="001B43B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noProof/>
                <w:szCs w:val="24"/>
              </w:rPr>
            </w:pPr>
          </w:p>
          <w:p w14:paraId="1745908E" w14:textId="77777777" w:rsidR="00536EAE" w:rsidRPr="0031249E" w:rsidRDefault="00536EAE" w:rsidP="001B43BA">
            <w:pPr>
              <w:autoSpaceDE w:val="0"/>
              <w:autoSpaceDN w:val="0"/>
              <w:adjustRightInd w:val="0"/>
              <w:spacing w:line="240" w:lineRule="auto"/>
              <w:ind w:firstLine="319"/>
              <w:cnfStyle w:val="000000000000" w:firstRow="0" w:lastRow="0" w:firstColumn="0" w:lastColumn="0" w:oddVBand="0" w:evenVBand="0" w:oddHBand="0" w:evenHBand="0" w:firstRowFirstColumn="0" w:firstRowLastColumn="0" w:lastRowFirstColumn="0" w:lastRowLastColumn="0"/>
              <w:rPr>
                <w:rFonts w:ascii="Cambria" w:hAnsi="Cambria"/>
                <w:noProof/>
                <w:szCs w:val="24"/>
              </w:rPr>
            </w:pPr>
            <w:r w:rsidRPr="0031249E">
              <w:rPr>
                <w:rFonts w:ascii="Cambria" w:hAnsi="Cambria"/>
                <w:noProof/>
                <w:szCs w:val="24"/>
              </w:rPr>
              <w:t>189</w:t>
            </w:r>
          </w:p>
          <w:p w14:paraId="62C7594C" w14:textId="77777777" w:rsidR="00536EAE" w:rsidRPr="0031249E" w:rsidRDefault="00536EAE" w:rsidP="001B43BA">
            <w:pPr>
              <w:autoSpaceDE w:val="0"/>
              <w:autoSpaceDN w:val="0"/>
              <w:adjustRightInd w:val="0"/>
              <w:spacing w:line="240" w:lineRule="auto"/>
              <w:ind w:firstLine="319"/>
              <w:cnfStyle w:val="000000000000" w:firstRow="0" w:lastRow="0" w:firstColumn="0" w:lastColumn="0" w:oddVBand="0" w:evenVBand="0" w:oddHBand="0" w:evenHBand="0" w:firstRowFirstColumn="0" w:firstRowLastColumn="0" w:lastRowFirstColumn="0" w:lastRowLastColumn="0"/>
              <w:rPr>
                <w:rFonts w:ascii="Cambria" w:hAnsi="Cambria"/>
                <w:noProof/>
                <w:szCs w:val="24"/>
              </w:rPr>
            </w:pPr>
            <w:r w:rsidRPr="0031249E">
              <w:rPr>
                <w:rFonts w:ascii="Cambria" w:hAnsi="Cambria"/>
                <w:noProof/>
                <w:szCs w:val="24"/>
              </w:rPr>
              <w:t>205</w:t>
            </w:r>
          </w:p>
          <w:p w14:paraId="14B9B4EB" w14:textId="77777777" w:rsidR="00536EAE" w:rsidRPr="0031249E" w:rsidRDefault="00536EAE" w:rsidP="001B43BA">
            <w:pPr>
              <w:autoSpaceDE w:val="0"/>
              <w:autoSpaceDN w:val="0"/>
              <w:adjustRightInd w:val="0"/>
              <w:spacing w:line="240" w:lineRule="auto"/>
              <w:ind w:firstLine="461"/>
              <w:cnfStyle w:val="000000000000" w:firstRow="0" w:lastRow="0" w:firstColumn="0" w:lastColumn="0" w:oddVBand="0" w:evenVBand="0" w:oddHBand="0" w:evenHBand="0" w:firstRowFirstColumn="0" w:firstRowLastColumn="0" w:lastRowFirstColumn="0" w:lastRowLastColumn="0"/>
              <w:rPr>
                <w:rFonts w:ascii="Cambria" w:hAnsi="Cambria"/>
                <w:noProof/>
                <w:szCs w:val="24"/>
              </w:rPr>
            </w:pPr>
            <w:r w:rsidRPr="0031249E">
              <w:rPr>
                <w:rFonts w:ascii="Cambria" w:hAnsi="Cambria"/>
                <w:noProof/>
                <w:szCs w:val="24"/>
              </w:rPr>
              <w:t>30</w:t>
            </w:r>
          </w:p>
          <w:p w14:paraId="335E5BF6" w14:textId="77777777" w:rsidR="00536EAE" w:rsidRPr="0031249E" w:rsidRDefault="00536EAE" w:rsidP="001B43BA">
            <w:pPr>
              <w:autoSpaceDE w:val="0"/>
              <w:autoSpaceDN w:val="0"/>
              <w:adjustRightInd w:val="0"/>
              <w:spacing w:line="240" w:lineRule="auto"/>
              <w:ind w:firstLine="319"/>
              <w:cnfStyle w:val="000000000000" w:firstRow="0" w:lastRow="0" w:firstColumn="0" w:lastColumn="0" w:oddVBand="0" w:evenVBand="0" w:oddHBand="0" w:evenHBand="0" w:firstRowFirstColumn="0" w:firstRowLastColumn="0" w:lastRowFirstColumn="0" w:lastRowLastColumn="0"/>
              <w:rPr>
                <w:rFonts w:ascii="Cambria" w:hAnsi="Cambria"/>
                <w:noProof/>
                <w:szCs w:val="24"/>
              </w:rPr>
            </w:pPr>
            <w:r w:rsidRPr="0031249E">
              <w:rPr>
                <w:rFonts w:ascii="Cambria" w:hAnsi="Cambria"/>
                <w:noProof/>
                <w:szCs w:val="24"/>
              </w:rPr>
              <w:t>159</w:t>
            </w:r>
          </w:p>
        </w:tc>
      </w:tr>
      <w:tr w:rsidR="00536EAE" w:rsidRPr="0031249E" w14:paraId="488E45AF" w14:textId="77777777" w:rsidTr="00536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0" w:type="dxa"/>
          </w:tcPr>
          <w:p w14:paraId="3E200D1F" w14:textId="77777777" w:rsidR="00536EAE" w:rsidRPr="0031249E" w:rsidRDefault="00536EAE" w:rsidP="001B43BA">
            <w:pPr>
              <w:autoSpaceDE w:val="0"/>
              <w:autoSpaceDN w:val="0"/>
              <w:adjustRightInd w:val="0"/>
              <w:spacing w:line="240" w:lineRule="auto"/>
              <w:rPr>
                <w:rFonts w:ascii="Cambria" w:hAnsi="Cambria"/>
                <w:bCs w:val="0"/>
                <w:noProof/>
                <w:szCs w:val="24"/>
              </w:rPr>
            </w:pPr>
            <w:r w:rsidRPr="0031249E">
              <w:rPr>
                <w:rFonts w:ascii="Cambria" w:hAnsi="Cambria"/>
                <w:b w:val="0"/>
                <w:i/>
                <w:iCs/>
                <w:noProof/>
                <w:szCs w:val="24"/>
              </w:rPr>
              <w:t>Kolaborasi Penulis</w:t>
            </w:r>
          </w:p>
          <w:p w14:paraId="6EA42152" w14:textId="77777777" w:rsidR="00536EAE" w:rsidRPr="0031249E" w:rsidRDefault="00536EAE" w:rsidP="001B43BA">
            <w:pPr>
              <w:autoSpaceDE w:val="0"/>
              <w:autoSpaceDN w:val="0"/>
              <w:adjustRightInd w:val="0"/>
              <w:spacing w:line="240" w:lineRule="auto"/>
              <w:rPr>
                <w:rFonts w:ascii="Cambria" w:hAnsi="Cambria"/>
                <w:bCs w:val="0"/>
                <w:noProof/>
                <w:szCs w:val="24"/>
              </w:rPr>
            </w:pPr>
            <w:r w:rsidRPr="0031249E">
              <w:rPr>
                <w:rFonts w:ascii="Cambria" w:hAnsi="Cambria"/>
                <w:b w:val="0"/>
                <w:noProof/>
                <w:szCs w:val="24"/>
              </w:rPr>
              <w:t>Dokumen penulis tunggal</w:t>
            </w:r>
          </w:p>
          <w:p w14:paraId="299F366F" w14:textId="77777777" w:rsidR="00536EAE" w:rsidRPr="0031249E" w:rsidRDefault="00536EAE" w:rsidP="001B43BA">
            <w:pPr>
              <w:autoSpaceDE w:val="0"/>
              <w:autoSpaceDN w:val="0"/>
              <w:adjustRightInd w:val="0"/>
              <w:spacing w:line="240" w:lineRule="auto"/>
              <w:rPr>
                <w:rFonts w:ascii="Cambria" w:hAnsi="Cambria"/>
                <w:bCs w:val="0"/>
                <w:noProof/>
                <w:szCs w:val="24"/>
              </w:rPr>
            </w:pPr>
            <w:r w:rsidRPr="0031249E">
              <w:rPr>
                <w:rFonts w:ascii="Cambria" w:hAnsi="Cambria"/>
                <w:b w:val="0"/>
                <w:noProof/>
                <w:szCs w:val="24"/>
              </w:rPr>
              <w:t>Dokumen per penulis</w:t>
            </w:r>
          </w:p>
          <w:p w14:paraId="5BF80CAD" w14:textId="77777777" w:rsidR="00536EAE" w:rsidRPr="0031249E" w:rsidRDefault="00536EAE" w:rsidP="001B43BA">
            <w:pPr>
              <w:autoSpaceDE w:val="0"/>
              <w:autoSpaceDN w:val="0"/>
              <w:adjustRightInd w:val="0"/>
              <w:spacing w:line="240" w:lineRule="auto"/>
              <w:rPr>
                <w:rFonts w:ascii="Cambria" w:hAnsi="Cambria"/>
                <w:bCs w:val="0"/>
                <w:noProof/>
                <w:szCs w:val="24"/>
              </w:rPr>
            </w:pPr>
            <w:r w:rsidRPr="0031249E">
              <w:rPr>
                <w:rFonts w:ascii="Cambria" w:hAnsi="Cambria"/>
                <w:b w:val="0"/>
                <w:noProof/>
                <w:szCs w:val="24"/>
              </w:rPr>
              <w:t>Penulis per dokumen</w:t>
            </w:r>
          </w:p>
          <w:p w14:paraId="560B2635" w14:textId="77777777" w:rsidR="00536EAE" w:rsidRPr="0031249E" w:rsidRDefault="00536EAE" w:rsidP="001B43BA">
            <w:pPr>
              <w:autoSpaceDE w:val="0"/>
              <w:autoSpaceDN w:val="0"/>
              <w:adjustRightInd w:val="0"/>
              <w:spacing w:line="240" w:lineRule="auto"/>
              <w:rPr>
                <w:rFonts w:ascii="Cambria" w:hAnsi="Cambria"/>
                <w:bCs w:val="0"/>
                <w:noProof/>
                <w:szCs w:val="24"/>
              </w:rPr>
            </w:pPr>
            <w:r w:rsidRPr="0031249E">
              <w:rPr>
                <w:rFonts w:ascii="Cambria" w:hAnsi="Cambria"/>
                <w:b w:val="0"/>
                <w:noProof/>
                <w:szCs w:val="24"/>
              </w:rPr>
              <w:t>Penulis bersama per dokumen</w:t>
            </w:r>
          </w:p>
          <w:p w14:paraId="04C5A589" w14:textId="77777777" w:rsidR="00536EAE" w:rsidRPr="0031249E" w:rsidRDefault="00536EAE" w:rsidP="001B43BA">
            <w:pPr>
              <w:autoSpaceDE w:val="0"/>
              <w:autoSpaceDN w:val="0"/>
              <w:adjustRightInd w:val="0"/>
              <w:spacing w:line="240" w:lineRule="auto"/>
              <w:rPr>
                <w:rFonts w:ascii="Cambria" w:hAnsi="Cambria"/>
                <w:b w:val="0"/>
                <w:noProof/>
                <w:szCs w:val="24"/>
              </w:rPr>
            </w:pPr>
            <w:r w:rsidRPr="0031249E">
              <w:rPr>
                <w:rFonts w:ascii="Cambria" w:hAnsi="Cambria"/>
                <w:b w:val="0"/>
                <w:noProof/>
                <w:szCs w:val="24"/>
              </w:rPr>
              <w:t>Indeks Kolaborasi</w:t>
            </w:r>
          </w:p>
        </w:tc>
        <w:tc>
          <w:tcPr>
            <w:tcW w:w="1559" w:type="dxa"/>
          </w:tcPr>
          <w:p w14:paraId="2D6C29ED" w14:textId="77777777" w:rsidR="00536EAE" w:rsidRPr="0031249E" w:rsidRDefault="00536EAE" w:rsidP="001B43BA">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noProof/>
                <w:szCs w:val="24"/>
              </w:rPr>
            </w:pPr>
          </w:p>
          <w:p w14:paraId="29912292" w14:textId="77777777" w:rsidR="00536EAE" w:rsidRPr="0031249E" w:rsidRDefault="00536EAE" w:rsidP="001B43BA">
            <w:pPr>
              <w:autoSpaceDE w:val="0"/>
              <w:autoSpaceDN w:val="0"/>
              <w:adjustRightInd w:val="0"/>
              <w:spacing w:line="240" w:lineRule="auto"/>
              <w:ind w:firstLine="461"/>
              <w:cnfStyle w:val="000000100000" w:firstRow="0" w:lastRow="0" w:firstColumn="0" w:lastColumn="0" w:oddVBand="0" w:evenVBand="0" w:oddHBand="1" w:evenHBand="0" w:firstRowFirstColumn="0" w:firstRowLastColumn="0" w:lastRowFirstColumn="0" w:lastRowLastColumn="0"/>
              <w:rPr>
                <w:rFonts w:ascii="Cambria" w:hAnsi="Cambria"/>
                <w:noProof/>
                <w:szCs w:val="24"/>
              </w:rPr>
            </w:pPr>
            <w:r w:rsidRPr="0031249E">
              <w:rPr>
                <w:rFonts w:ascii="Cambria" w:hAnsi="Cambria"/>
                <w:noProof/>
                <w:szCs w:val="24"/>
              </w:rPr>
              <w:t>33</w:t>
            </w:r>
          </w:p>
          <w:p w14:paraId="3FE7FABA" w14:textId="77777777" w:rsidR="00536EAE" w:rsidRPr="0031249E" w:rsidRDefault="00536EAE" w:rsidP="001B43BA">
            <w:pPr>
              <w:autoSpaceDE w:val="0"/>
              <w:autoSpaceDN w:val="0"/>
              <w:adjustRightInd w:val="0"/>
              <w:spacing w:line="240" w:lineRule="auto"/>
              <w:ind w:firstLine="602"/>
              <w:cnfStyle w:val="000000100000" w:firstRow="0" w:lastRow="0" w:firstColumn="0" w:lastColumn="0" w:oddVBand="0" w:evenVBand="0" w:oddHBand="1" w:evenHBand="0" w:firstRowFirstColumn="0" w:firstRowLastColumn="0" w:lastRowFirstColumn="0" w:lastRowLastColumn="0"/>
              <w:rPr>
                <w:rFonts w:ascii="Cambria" w:hAnsi="Cambria"/>
                <w:noProof/>
                <w:szCs w:val="24"/>
              </w:rPr>
            </w:pPr>
            <w:r w:rsidRPr="0031249E">
              <w:rPr>
                <w:rFonts w:ascii="Cambria" w:hAnsi="Cambria"/>
                <w:noProof/>
                <w:szCs w:val="24"/>
              </w:rPr>
              <w:t>0,534</w:t>
            </w:r>
          </w:p>
          <w:p w14:paraId="418A9A8C" w14:textId="77777777" w:rsidR="00536EAE" w:rsidRPr="0031249E" w:rsidRDefault="00536EAE" w:rsidP="001B43BA">
            <w:pPr>
              <w:autoSpaceDE w:val="0"/>
              <w:autoSpaceDN w:val="0"/>
              <w:adjustRightInd w:val="0"/>
              <w:spacing w:line="240" w:lineRule="auto"/>
              <w:ind w:firstLine="602"/>
              <w:cnfStyle w:val="000000100000" w:firstRow="0" w:lastRow="0" w:firstColumn="0" w:lastColumn="0" w:oddVBand="0" w:evenVBand="0" w:oddHBand="1" w:evenHBand="0" w:firstRowFirstColumn="0" w:firstRowLastColumn="0" w:lastRowFirstColumn="0" w:lastRowLastColumn="0"/>
              <w:rPr>
                <w:rFonts w:ascii="Cambria" w:hAnsi="Cambria"/>
                <w:noProof/>
                <w:szCs w:val="24"/>
              </w:rPr>
            </w:pPr>
            <w:r w:rsidRPr="0031249E">
              <w:rPr>
                <w:rFonts w:ascii="Cambria" w:hAnsi="Cambria"/>
                <w:noProof/>
                <w:szCs w:val="24"/>
              </w:rPr>
              <w:t>1.87</w:t>
            </w:r>
          </w:p>
          <w:p w14:paraId="7D57B2B0" w14:textId="77777777" w:rsidR="00536EAE" w:rsidRPr="0031249E" w:rsidRDefault="00536EAE" w:rsidP="001B43BA">
            <w:pPr>
              <w:autoSpaceDE w:val="0"/>
              <w:autoSpaceDN w:val="0"/>
              <w:adjustRightInd w:val="0"/>
              <w:spacing w:line="240" w:lineRule="auto"/>
              <w:ind w:firstLine="602"/>
              <w:cnfStyle w:val="000000100000" w:firstRow="0" w:lastRow="0" w:firstColumn="0" w:lastColumn="0" w:oddVBand="0" w:evenVBand="0" w:oddHBand="1" w:evenHBand="0" w:firstRowFirstColumn="0" w:firstRowLastColumn="0" w:lastRowFirstColumn="0" w:lastRowLastColumn="0"/>
              <w:rPr>
                <w:rFonts w:ascii="Cambria" w:hAnsi="Cambria"/>
                <w:noProof/>
                <w:szCs w:val="24"/>
              </w:rPr>
            </w:pPr>
            <w:r w:rsidRPr="0031249E">
              <w:rPr>
                <w:rFonts w:ascii="Cambria" w:hAnsi="Cambria"/>
                <w:noProof/>
                <w:szCs w:val="24"/>
              </w:rPr>
              <w:t>2.03</w:t>
            </w:r>
          </w:p>
          <w:p w14:paraId="286F153B" w14:textId="77777777" w:rsidR="00536EAE" w:rsidRPr="0031249E" w:rsidRDefault="00536EAE" w:rsidP="001B43BA">
            <w:pPr>
              <w:autoSpaceDE w:val="0"/>
              <w:autoSpaceDN w:val="0"/>
              <w:adjustRightInd w:val="0"/>
              <w:spacing w:line="240" w:lineRule="auto"/>
              <w:ind w:firstLine="602"/>
              <w:cnfStyle w:val="000000100000" w:firstRow="0" w:lastRow="0" w:firstColumn="0" w:lastColumn="0" w:oddVBand="0" w:evenVBand="0" w:oddHBand="1" w:evenHBand="0" w:firstRowFirstColumn="0" w:firstRowLastColumn="0" w:lastRowFirstColumn="0" w:lastRowLastColumn="0"/>
              <w:rPr>
                <w:rFonts w:ascii="Cambria" w:hAnsi="Cambria"/>
                <w:noProof/>
                <w:szCs w:val="24"/>
              </w:rPr>
            </w:pPr>
            <w:r w:rsidRPr="0031249E">
              <w:rPr>
                <w:rFonts w:ascii="Cambria" w:hAnsi="Cambria"/>
                <w:noProof/>
                <w:szCs w:val="24"/>
              </w:rPr>
              <w:t>2.34</w:t>
            </w:r>
          </w:p>
        </w:tc>
      </w:tr>
    </w:tbl>
    <w:p w14:paraId="15142ED5" w14:textId="77777777" w:rsidR="00536EAE" w:rsidRPr="0031249E" w:rsidRDefault="00536EAE" w:rsidP="001B43BA">
      <w:pPr>
        <w:spacing w:line="240" w:lineRule="auto"/>
        <w:ind w:right="-1" w:firstLine="557"/>
        <w:rPr>
          <w:rFonts w:ascii="Cambria" w:hAnsi="Cambria"/>
          <w:bCs/>
          <w:szCs w:val="24"/>
        </w:rPr>
      </w:pPr>
    </w:p>
    <w:p w14:paraId="42555634" w14:textId="77777777" w:rsidR="00536EAE" w:rsidRPr="0031249E" w:rsidRDefault="00536EAE" w:rsidP="001B43BA">
      <w:pPr>
        <w:tabs>
          <w:tab w:val="right" w:pos="4393"/>
        </w:tabs>
        <w:spacing w:line="240" w:lineRule="auto"/>
        <w:ind w:left="360"/>
        <w:rPr>
          <w:rFonts w:ascii="Cambria" w:hAnsi="Cambria"/>
          <w:b/>
          <w:szCs w:val="24"/>
        </w:rPr>
      </w:pPr>
      <w:r w:rsidRPr="0031249E">
        <w:rPr>
          <w:rFonts w:ascii="Cambria" w:hAnsi="Cambria"/>
          <w:b/>
          <w:szCs w:val="24"/>
        </w:rPr>
        <w:t>Pertumbuhan Publikasi</w:t>
      </w:r>
    </w:p>
    <w:p w14:paraId="5ED8E4E7" w14:textId="77777777" w:rsidR="00536EAE" w:rsidRPr="0031249E" w:rsidRDefault="00536EAE" w:rsidP="001B43BA">
      <w:pPr>
        <w:spacing w:line="240" w:lineRule="auto"/>
        <w:ind w:right="-1" w:firstLine="557"/>
        <w:rPr>
          <w:rFonts w:ascii="Cambria" w:hAnsi="Cambria"/>
          <w:bCs/>
          <w:szCs w:val="24"/>
        </w:rPr>
      </w:pPr>
      <w:r w:rsidRPr="0031249E">
        <w:rPr>
          <w:rFonts w:ascii="Cambria" w:hAnsi="Cambria"/>
          <w:bCs/>
          <w:szCs w:val="24"/>
        </w:rPr>
        <w:t>Gambar 2 menggambarkan distribusi tahunan dari semua literatur yang dikumpulkan tentang reksa dana syariah di Indonesia dari tahun 2006 hingga 2022. Dalam 16 tahun (2006-2022), penelitian tentang reksa dana syariah di Indonesia hampir tidak signifikan, setidaknya dalam publikasi yang terindeks di database ukuran. Penelitian mulai berkembang pada tahun 2017 dengan jumlah publikasi tertinggi pada tahun 2020.</w:t>
      </w:r>
    </w:p>
    <w:p w14:paraId="41D24DDB" w14:textId="77777777" w:rsidR="00536EAE" w:rsidRPr="0031249E" w:rsidRDefault="00536EAE" w:rsidP="001B43BA">
      <w:pPr>
        <w:tabs>
          <w:tab w:val="right" w:pos="4393"/>
        </w:tabs>
        <w:spacing w:line="240" w:lineRule="auto"/>
        <w:ind w:left="360"/>
        <w:rPr>
          <w:rFonts w:ascii="Cambria" w:hAnsi="Cambria"/>
          <w:b/>
          <w:szCs w:val="24"/>
        </w:rPr>
      </w:pPr>
      <w:r w:rsidRPr="0031249E">
        <w:rPr>
          <w:rFonts w:ascii="Cambria" w:hAnsi="Cambria"/>
          <w:b/>
          <w:szCs w:val="24"/>
        </w:rPr>
        <w:t>Gambar 2.</w:t>
      </w:r>
    </w:p>
    <w:p w14:paraId="3C019F87" w14:textId="77777777" w:rsidR="00536EAE" w:rsidRPr="0031249E" w:rsidRDefault="00536EAE" w:rsidP="001B43BA">
      <w:pPr>
        <w:tabs>
          <w:tab w:val="right" w:pos="4393"/>
        </w:tabs>
        <w:spacing w:line="240" w:lineRule="auto"/>
        <w:ind w:left="360"/>
        <w:rPr>
          <w:rFonts w:ascii="Cambria" w:hAnsi="Cambria"/>
          <w:bCs/>
          <w:i/>
          <w:iCs/>
          <w:szCs w:val="24"/>
        </w:rPr>
      </w:pPr>
      <w:r w:rsidRPr="0031249E">
        <w:rPr>
          <w:rFonts w:ascii="Cambria" w:hAnsi="Cambria"/>
          <w:bCs/>
          <w:i/>
          <w:iCs/>
          <w:szCs w:val="24"/>
        </w:rPr>
        <w:t>Perkembangan Reksa Dana Syariah di Indonesia Literatur</w:t>
      </w:r>
    </w:p>
    <w:p w14:paraId="2551D722" w14:textId="77777777" w:rsidR="00536EAE" w:rsidRPr="0031249E" w:rsidRDefault="00536EAE" w:rsidP="001B43BA">
      <w:pPr>
        <w:spacing w:line="240" w:lineRule="auto"/>
        <w:ind w:right="-1" w:firstLine="557"/>
        <w:rPr>
          <w:rFonts w:ascii="Cambria" w:hAnsi="Cambria"/>
          <w:bCs/>
          <w:szCs w:val="24"/>
        </w:rPr>
      </w:pPr>
      <w:r w:rsidRPr="0031249E">
        <w:rPr>
          <w:rFonts w:ascii="Cambria" w:hAnsi="Cambria"/>
          <w:noProof/>
          <w:szCs w:val="24"/>
        </w:rPr>
        <w:drawing>
          <wp:inline distT="0" distB="0" distL="0" distR="0" wp14:anchorId="156BA334" wp14:editId="5D60BC2F">
            <wp:extent cx="3204845" cy="2012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4845" cy="2012315"/>
                    </a:xfrm>
                    <a:prstGeom prst="rect">
                      <a:avLst/>
                    </a:prstGeom>
                  </pic:spPr>
                </pic:pic>
              </a:graphicData>
            </a:graphic>
          </wp:inline>
        </w:drawing>
      </w:r>
    </w:p>
    <w:p w14:paraId="4FB70C11" w14:textId="77777777" w:rsidR="00536EAE" w:rsidRPr="0031249E" w:rsidRDefault="00536EAE" w:rsidP="001B43BA">
      <w:pPr>
        <w:tabs>
          <w:tab w:val="right" w:pos="4393"/>
        </w:tabs>
        <w:spacing w:line="240" w:lineRule="auto"/>
        <w:ind w:left="360"/>
        <w:rPr>
          <w:rFonts w:ascii="Cambria" w:hAnsi="Cambria"/>
          <w:b/>
          <w:szCs w:val="24"/>
        </w:rPr>
      </w:pPr>
      <w:r w:rsidRPr="0031249E">
        <w:rPr>
          <w:rFonts w:ascii="Cambria" w:hAnsi="Cambria"/>
          <w:b/>
          <w:szCs w:val="24"/>
        </w:rPr>
        <w:t>Sumber Paling Relevan</w:t>
      </w:r>
    </w:p>
    <w:p w14:paraId="3C56C46A" w14:textId="77777777" w:rsidR="00536EAE" w:rsidRPr="0031249E" w:rsidRDefault="00536EAE" w:rsidP="001B43BA">
      <w:pPr>
        <w:spacing w:line="240" w:lineRule="auto"/>
        <w:ind w:right="-1" w:firstLine="557"/>
        <w:rPr>
          <w:rFonts w:ascii="Cambria" w:hAnsi="Cambria"/>
          <w:bCs/>
          <w:szCs w:val="24"/>
          <w:lang w:val="id-ID"/>
        </w:rPr>
      </w:pPr>
      <w:r w:rsidRPr="0031249E">
        <w:rPr>
          <w:rFonts w:ascii="Cambria" w:hAnsi="Cambria"/>
          <w:bCs/>
          <w:szCs w:val="24"/>
        </w:rPr>
        <w:t xml:space="preserve">Gambar 3. menggambarkan sepuluh jurnal teratas yang menerbitkan artikel bertema reksa dana syariah di Indonesia. Gambar 3 juga menjelaskan jumlah dokumen penelitian yang diterbitkan oleh masing-masing jurnal berdasarkan tingkat relevansinya dengan tema reksa dana syariah. Jumlah </w:t>
      </w:r>
      <w:r w:rsidRPr="0031249E">
        <w:rPr>
          <w:rFonts w:ascii="Cambria" w:hAnsi="Cambria"/>
          <w:bCs/>
          <w:szCs w:val="24"/>
        </w:rPr>
        <w:lastRenderedPageBreak/>
        <w:t>dokumen yang diterbitkan ditunjukkan dengan diagram batang berwarna biru. Semakin gelap warna biru menunjukkan semakin banyak jumlah dokumen yang diterbitkan oleh jurnal. Sementara itu, semakin terang warna lingkaran biru, semakin sedikit jumlah publikasi yang diterbitkan oleh jurnal tersebut.</w:t>
      </w:r>
    </w:p>
    <w:p w14:paraId="67B9E0FC" w14:textId="77777777" w:rsidR="00536EAE" w:rsidRPr="0031249E" w:rsidRDefault="00536EAE" w:rsidP="001B43BA">
      <w:pPr>
        <w:spacing w:after="0" w:line="240" w:lineRule="auto"/>
        <w:ind w:left="425"/>
        <w:rPr>
          <w:rFonts w:ascii="Cambria" w:hAnsi="Cambria"/>
          <w:bCs/>
          <w:szCs w:val="24"/>
          <w:lang w:val="id-ID"/>
        </w:rPr>
      </w:pPr>
    </w:p>
    <w:p w14:paraId="60F91284" w14:textId="77777777" w:rsidR="00536EAE" w:rsidRPr="0031249E" w:rsidRDefault="00536EAE" w:rsidP="001B43BA">
      <w:pPr>
        <w:spacing w:line="240" w:lineRule="auto"/>
        <w:ind w:right="-1" w:firstLine="557"/>
        <w:rPr>
          <w:rFonts w:ascii="Cambria" w:hAnsi="Cambria"/>
          <w:bCs/>
          <w:szCs w:val="24"/>
          <w:lang w:val="id-ID"/>
        </w:rPr>
      </w:pPr>
      <w:r w:rsidRPr="0031249E">
        <w:rPr>
          <w:rFonts w:ascii="Cambria" w:hAnsi="Cambria"/>
          <w:bCs/>
          <w:szCs w:val="24"/>
          <w:lang w:val="id-ID"/>
        </w:rPr>
        <w:t>Journal of Theoretical and Applied Islamic Economics merupakan jurnal dengan jumlah publikasi dokumen terbanyak dengan 12 publikasi. Posisi kedua dan ketiga adalah Journal of Applied Islamic Economics and Finance dan jurnal Islamic Accounting and Business Research dengan 3 publikasi untuk masing-masing jurnal. Selanjutnya 7 jurnal lainnya memiliki jumlah publikasi yang sama yaitu 2 publikasi di setiap jurnal.</w:t>
      </w:r>
    </w:p>
    <w:p w14:paraId="4E482C2B" w14:textId="77777777" w:rsidR="00536EAE" w:rsidRPr="0031249E" w:rsidRDefault="00536EAE" w:rsidP="001B43BA">
      <w:pPr>
        <w:tabs>
          <w:tab w:val="right" w:pos="4393"/>
        </w:tabs>
        <w:spacing w:line="240" w:lineRule="auto"/>
        <w:ind w:left="360"/>
        <w:rPr>
          <w:rFonts w:ascii="Cambria" w:hAnsi="Cambria"/>
          <w:b/>
          <w:szCs w:val="24"/>
        </w:rPr>
      </w:pPr>
      <w:r w:rsidRPr="0031249E">
        <w:rPr>
          <w:rFonts w:ascii="Cambria" w:hAnsi="Cambria"/>
          <w:b/>
          <w:szCs w:val="24"/>
        </w:rPr>
        <w:t>Gambar 3.</w:t>
      </w:r>
    </w:p>
    <w:p w14:paraId="41D33BC6" w14:textId="77777777" w:rsidR="00536EAE" w:rsidRPr="0031249E" w:rsidRDefault="00536EAE" w:rsidP="001B43BA">
      <w:pPr>
        <w:tabs>
          <w:tab w:val="right" w:pos="4393"/>
        </w:tabs>
        <w:spacing w:line="240" w:lineRule="auto"/>
        <w:ind w:left="360"/>
        <w:rPr>
          <w:rFonts w:ascii="Cambria" w:hAnsi="Cambria"/>
          <w:bCs/>
          <w:szCs w:val="24"/>
        </w:rPr>
      </w:pPr>
      <w:r w:rsidRPr="0031249E">
        <w:rPr>
          <w:rFonts w:ascii="Cambria" w:hAnsi="Cambria"/>
          <w:bCs/>
          <w:i/>
          <w:iCs/>
          <w:szCs w:val="24"/>
        </w:rPr>
        <w:t>Sepuluh Sumber Relevan Teratas</w:t>
      </w:r>
    </w:p>
    <w:p w14:paraId="5FA8DFB6" w14:textId="77777777" w:rsidR="00536EAE" w:rsidRPr="0031249E" w:rsidRDefault="00536EAE" w:rsidP="001B43BA">
      <w:pPr>
        <w:spacing w:line="240" w:lineRule="auto"/>
        <w:ind w:right="-1"/>
        <w:rPr>
          <w:rFonts w:ascii="Cambria" w:hAnsi="Cambria"/>
          <w:bCs/>
          <w:szCs w:val="24"/>
          <w:lang w:val="en-US"/>
        </w:rPr>
      </w:pPr>
      <w:r w:rsidRPr="0031249E">
        <w:rPr>
          <w:rFonts w:ascii="Cambria" w:hAnsi="Cambria"/>
          <w:noProof/>
          <w:szCs w:val="24"/>
        </w:rPr>
        <w:drawing>
          <wp:inline distT="0" distB="0" distL="0" distR="0" wp14:anchorId="63203D0D" wp14:editId="66D2FDBA">
            <wp:extent cx="4037611" cy="2535207"/>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48445" cy="2542009"/>
                    </a:xfrm>
                    <a:prstGeom prst="rect">
                      <a:avLst/>
                    </a:prstGeom>
                  </pic:spPr>
                </pic:pic>
              </a:graphicData>
            </a:graphic>
          </wp:inline>
        </w:drawing>
      </w:r>
    </w:p>
    <w:p w14:paraId="6C9B3F94" w14:textId="77777777" w:rsidR="00536EAE" w:rsidRPr="0031249E" w:rsidRDefault="00536EAE" w:rsidP="001B43BA">
      <w:pPr>
        <w:spacing w:line="240" w:lineRule="auto"/>
        <w:ind w:right="-1"/>
        <w:rPr>
          <w:rFonts w:ascii="Cambria" w:hAnsi="Cambria"/>
          <w:bCs/>
          <w:szCs w:val="24"/>
          <w:lang w:val="en-US"/>
        </w:rPr>
      </w:pPr>
    </w:p>
    <w:p w14:paraId="1AE2F147" w14:textId="77777777" w:rsidR="00536EAE" w:rsidRPr="0031249E" w:rsidRDefault="00536EAE" w:rsidP="001B43BA">
      <w:pPr>
        <w:tabs>
          <w:tab w:val="right" w:pos="4393"/>
        </w:tabs>
        <w:spacing w:line="240" w:lineRule="auto"/>
        <w:ind w:left="360"/>
        <w:rPr>
          <w:rFonts w:ascii="Cambria" w:hAnsi="Cambria"/>
          <w:b/>
          <w:szCs w:val="24"/>
        </w:rPr>
      </w:pPr>
      <w:r w:rsidRPr="0031249E">
        <w:rPr>
          <w:rFonts w:ascii="Cambria" w:hAnsi="Cambria"/>
          <w:b/>
          <w:szCs w:val="24"/>
        </w:rPr>
        <w:t>Penulis Paling Relevan</w:t>
      </w:r>
    </w:p>
    <w:p w14:paraId="0F4EE279" w14:textId="77777777" w:rsidR="00536EAE" w:rsidRPr="0031249E" w:rsidRDefault="00536EAE" w:rsidP="001B43BA">
      <w:pPr>
        <w:spacing w:line="240" w:lineRule="auto"/>
        <w:ind w:right="-1" w:firstLine="557"/>
        <w:rPr>
          <w:rFonts w:ascii="Cambria" w:hAnsi="Cambria"/>
          <w:bCs/>
          <w:szCs w:val="24"/>
        </w:rPr>
      </w:pPr>
      <w:r w:rsidRPr="0031249E">
        <w:rPr>
          <w:rFonts w:ascii="Cambria" w:hAnsi="Cambria"/>
          <w:bCs/>
          <w:szCs w:val="24"/>
        </w:rPr>
        <w:t>Gambar 4 menunjukkan penulis paling produktif di bidang reksa dana syariah di Indonesia. Gemala Dewi dari Universitas Indonesia, Erie Febrian dari Universitas Padjajaran, dan Nur Kholis dari Universitas Islam Indonesia. Mereka adalah penulis paling relevan yang menulis artikel terkait dengan tema reksa dana syariah di Indonesia.</w:t>
      </w:r>
    </w:p>
    <w:p w14:paraId="6052FFD7" w14:textId="77777777" w:rsidR="00536EAE" w:rsidRPr="0031249E" w:rsidRDefault="00536EAE" w:rsidP="001B43BA">
      <w:pPr>
        <w:tabs>
          <w:tab w:val="right" w:pos="4393"/>
        </w:tabs>
        <w:spacing w:line="240" w:lineRule="auto"/>
        <w:ind w:left="360"/>
        <w:rPr>
          <w:rFonts w:ascii="Cambria" w:hAnsi="Cambria"/>
          <w:b/>
          <w:szCs w:val="24"/>
        </w:rPr>
      </w:pPr>
      <w:r w:rsidRPr="0031249E">
        <w:rPr>
          <w:rFonts w:ascii="Cambria" w:hAnsi="Cambria"/>
          <w:b/>
          <w:szCs w:val="24"/>
        </w:rPr>
        <w:t>Gambar 4.</w:t>
      </w:r>
    </w:p>
    <w:p w14:paraId="6B2DCAAC" w14:textId="77777777" w:rsidR="00536EAE" w:rsidRPr="0031249E" w:rsidRDefault="00536EAE" w:rsidP="001B43BA">
      <w:pPr>
        <w:tabs>
          <w:tab w:val="right" w:pos="4393"/>
        </w:tabs>
        <w:spacing w:line="240" w:lineRule="auto"/>
        <w:ind w:left="360"/>
        <w:rPr>
          <w:rFonts w:ascii="Cambria" w:hAnsi="Cambria"/>
          <w:bCs/>
          <w:szCs w:val="24"/>
        </w:rPr>
      </w:pPr>
      <w:r w:rsidRPr="0031249E">
        <w:rPr>
          <w:rFonts w:ascii="Cambria" w:hAnsi="Cambria"/>
          <w:bCs/>
          <w:i/>
          <w:iCs/>
          <w:szCs w:val="24"/>
        </w:rPr>
        <w:t>Penulis Terkait Tenda Teratas</w:t>
      </w:r>
    </w:p>
    <w:p w14:paraId="56C51415" w14:textId="77777777" w:rsidR="00536EAE" w:rsidRPr="0031249E" w:rsidRDefault="00536EAE" w:rsidP="001B43BA">
      <w:pPr>
        <w:spacing w:line="240" w:lineRule="auto"/>
        <w:ind w:right="-1" w:firstLine="557"/>
        <w:rPr>
          <w:rFonts w:ascii="Cambria" w:hAnsi="Cambria"/>
          <w:bCs/>
          <w:szCs w:val="24"/>
        </w:rPr>
      </w:pPr>
    </w:p>
    <w:p w14:paraId="61A03D2C" w14:textId="77777777" w:rsidR="00536EAE" w:rsidRPr="0031249E" w:rsidRDefault="00536EAE" w:rsidP="001B43BA">
      <w:pPr>
        <w:spacing w:line="240" w:lineRule="auto"/>
        <w:ind w:right="-1" w:firstLine="557"/>
        <w:rPr>
          <w:rFonts w:ascii="Cambria" w:hAnsi="Cambria"/>
          <w:bCs/>
          <w:szCs w:val="24"/>
        </w:rPr>
      </w:pPr>
      <w:r w:rsidRPr="0031249E">
        <w:rPr>
          <w:rFonts w:ascii="Cambria" w:hAnsi="Cambria"/>
          <w:noProof/>
          <w:szCs w:val="24"/>
        </w:rPr>
        <w:lastRenderedPageBreak/>
        <w:drawing>
          <wp:inline distT="0" distB="0" distL="0" distR="0" wp14:anchorId="475CB8E3" wp14:editId="4B2DC105">
            <wp:extent cx="3204845" cy="2012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4845" cy="2012315"/>
                    </a:xfrm>
                    <a:prstGeom prst="rect">
                      <a:avLst/>
                    </a:prstGeom>
                  </pic:spPr>
                </pic:pic>
              </a:graphicData>
            </a:graphic>
          </wp:inline>
        </w:drawing>
      </w:r>
    </w:p>
    <w:p w14:paraId="5B57AF21" w14:textId="77777777" w:rsidR="00536EAE" w:rsidRPr="0031249E" w:rsidRDefault="00536EAE" w:rsidP="001B43BA">
      <w:pPr>
        <w:spacing w:line="240" w:lineRule="auto"/>
        <w:ind w:right="-1" w:firstLine="557"/>
        <w:rPr>
          <w:rFonts w:ascii="Cambria" w:hAnsi="Cambria"/>
          <w:bCs/>
          <w:szCs w:val="24"/>
        </w:rPr>
      </w:pPr>
    </w:p>
    <w:p w14:paraId="4DE65F47" w14:textId="77777777" w:rsidR="00536EAE" w:rsidRPr="0031249E" w:rsidRDefault="00536EAE" w:rsidP="001B43BA">
      <w:pPr>
        <w:tabs>
          <w:tab w:val="right" w:pos="4393"/>
        </w:tabs>
        <w:spacing w:line="240" w:lineRule="auto"/>
        <w:ind w:left="360"/>
        <w:rPr>
          <w:rFonts w:ascii="Cambria" w:hAnsi="Cambria"/>
          <w:b/>
          <w:szCs w:val="24"/>
        </w:rPr>
      </w:pPr>
      <w:r w:rsidRPr="0031249E">
        <w:rPr>
          <w:rFonts w:ascii="Cambria" w:hAnsi="Cambria"/>
          <w:b/>
          <w:szCs w:val="24"/>
        </w:rPr>
        <w:t>Afiliasi Paling Relevan</w:t>
      </w:r>
    </w:p>
    <w:p w14:paraId="19E1FBEA" w14:textId="77777777" w:rsidR="00536EAE" w:rsidRPr="0031249E" w:rsidRDefault="00536EAE" w:rsidP="001B43BA">
      <w:pPr>
        <w:spacing w:line="240" w:lineRule="auto"/>
        <w:ind w:right="-1" w:firstLine="557"/>
        <w:rPr>
          <w:rFonts w:ascii="Cambria" w:hAnsi="Cambria"/>
          <w:bCs/>
          <w:szCs w:val="24"/>
        </w:rPr>
      </w:pPr>
      <w:r w:rsidRPr="0031249E">
        <w:rPr>
          <w:rFonts w:ascii="Cambria" w:hAnsi="Cambria"/>
          <w:bCs/>
          <w:szCs w:val="24"/>
        </w:rPr>
        <w:t>Gambar 5 menyajikan artikel afiliasi yang paling relevan dan penting dalam reksa dana syariah di Indonesia. Afiliasi yang paling relevan dengan tema reksa dana syariah di Indonesia adalah Universitas Airlangga. Selain itu, Universitas Diponegoro, Universitas Indonesia, Universitas Islam Indonesia, Universitas Padjajaran, Universitas Darussalam Gontor, Institut Teknologi Bandung, Universitas Pendidikan Indonesia, Universitas Lampung, dan Universitas Muhammadiyah Malang juga masuk dalam sepuluh besar afiliasi relevan. .</w:t>
      </w:r>
    </w:p>
    <w:p w14:paraId="0D8A00AD" w14:textId="77777777" w:rsidR="00536EAE" w:rsidRPr="0031249E" w:rsidRDefault="00536EAE" w:rsidP="001B43BA">
      <w:pPr>
        <w:tabs>
          <w:tab w:val="right" w:pos="4393"/>
        </w:tabs>
        <w:spacing w:line="240" w:lineRule="auto"/>
        <w:ind w:left="360"/>
        <w:rPr>
          <w:rFonts w:ascii="Cambria" w:hAnsi="Cambria"/>
          <w:b/>
          <w:szCs w:val="24"/>
        </w:rPr>
      </w:pPr>
      <w:r w:rsidRPr="0031249E">
        <w:rPr>
          <w:rFonts w:ascii="Cambria" w:hAnsi="Cambria"/>
          <w:b/>
          <w:szCs w:val="24"/>
        </w:rPr>
        <w:t>Gambar 5.</w:t>
      </w:r>
    </w:p>
    <w:p w14:paraId="024896F6" w14:textId="77777777" w:rsidR="00536EAE" w:rsidRPr="0031249E" w:rsidRDefault="00536EAE" w:rsidP="001B43BA">
      <w:pPr>
        <w:tabs>
          <w:tab w:val="right" w:pos="4393"/>
        </w:tabs>
        <w:spacing w:line="240" w:lineRule="auto"/>
        <w:ind w:left="360"/>
        <w:rPr>
          <w:rFonts w:ascii="Cambria" w:hAnsi="Cambria"/>
          <w:bCs/>
          <w:szCs w:val="24"/>
        </w:rPr>
      </w:pPr>
      <w:r w:rsidRPr="0031249E">
        <w:rPr>
          <w:rFonts w:ascii="Cambria" w:hAnsi="Cambria"/>
          <w:bCs/>
          <w:i/>
          <w:iCs/>
          <w:szCs w:val="24"/>
        </w:rPr>
        <w:t>Sepuluh Afiliasi Relevan Teratas</w:t>
      </w:r>
    </w:p>
    <w:p w14:paraId="35D411FE" w14:textId="77777777" w:rsidR="00536EAE" w:rsidRPr="0031249E" w:rsidRDefault="00536EAE" w:rsidP="001B43BA">
      <w:pPr>
        <w:spacing w:line="240" w:lineRule="auto"/>
        <w:ind w:right="-1" w:firstLine="557"/>
        <w:rPr>
          <w:rFonts w:ascii="Cambria" w:hAnsi="Cambria"/>
          <w:bCs/>
          <w:szCs w:val="24"/>
        </w:rPr>
      </w:pPr>
      <w:r w:rsidRPr="0031249E">
        <w:rPr>
          <w:rFonts w:ascii="Cambria" w:hAnsi="Cambria"/>
          <w:noProof/>
          <w:szCs w:val="24"/>
        </w:rPr>
        <w:drawing>
          <wp:inline distT="0" distB="0" distL="0" distR="0" wp14:anchorId="3552AD84" wp14:editId="3FD76C7B">
            <wp:extent cx="3204845" cy="2012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4845" cy="2012315"/>
                    </a:xfrm>
                    <a:prstGeom prst="rect">
                      <a:avLst/>
                    </a:prstGeom>
                  </pic:spPr>
                </pic:pic>
              </a:graphicData>
            </a:graphic>
          </wp:inline>
        </w:drawing>
      </w:r>
    </w:p>
    <w:p w14:paraId="23C300B7" w14:textId="77777777" w:rsidR="00536EAE" w:rsidRPr="0031249E" w:rsidRDefault="00536EAE" w:rsidP="001B43BA">
      <w:pPr>
        <w:tabs>
          <w:tab w:val="right" w:pos="4393"/>
        </w:tabs>
        <w:spacing w:line="240" w:lineRule="auto"/>
        <w:ind w:left="360"/>
        <w:rPr>
          <w:rFonts w:ascii="Cambria" w:hAnsi="Cambria"/>
          <w:b/>
          <w:szCs w:val="24"/>
        </w:rPr>
      </w:pPr>
      <w:r w:rsidRPr="0031249E">
        <w:rPr>
          <w:rFonts w:ascii="Cambria" w:hAnsi="Cambria"/>
          <w:b/>
          <w:szCs w:val="24"/>
        </w:rPr>
        <w:t>Kata yang Paling Relevan</w:t>
      </w:r>
    </w:p>
    <w:p w14:paraId="0AFF22E2" w14:textId="77777777" w:rsidR="00536EAE" w:rsidRPr="0031249E" w:rsidRDefault="00536EAE" w:rsidP="001B43BA">
      <w:pPr>
        <w:spacing w:line="240" w:lineRule="auto"/>
        <w:ind w:right="-1" w:firstLine="557"/>
        <w:rPr>
          <w:rFonts w:ascii="Cambria" w:hAnsi="Cambria"/>
          <w:bCs/>
          <w:szCs w:val="24"/>
        </w:rPr>
      </w:pPr>
      <w:r w:rsidRPr="0031249E">
        <w:rPr>
          <w:rFonts w:ascii="Cambria" w:hAnsi="Cambria"/>
          <w:bCs/>
          <w:szCs w:val="24"/>
        </w:rPr>
        <w:t>Gambar 6 menggambarkan kata-kata yang paling relevan dan sering digunakan dalam publikasi penelitian dengan tema reksa dana syariah di Indonesia. Sepuluh kata teratas dengan jumlah kegunaan tertinggi dan paling relevan dalam penelitian tema reksa dana syariah di Indonesia adalah kata “Indonesia” dengan total 64 kegunaan. Kata kedua yang paling relevan adalah kata “syariah” dengan 59 kegunaan. Kata ketiga yang paling relevan adalah kata “di”, dengan total 39 kegunaan. Selanjutnya, kata reksa dana digunakan 36 kali, kata "reksa" digunakan 31 kali, kata "Islam" digunakan 25 kali, dan kata "dan" digunakan 24 kali. Sedangkan kata “dana, kinerja dan syariah” digunakan sebanyak 20 kali.</w:t>
      </w:r>
    </w:p>
    <w:p w14:paraId="78E9E6A1" w14:textId="77777777" w:rsidR="00536EAE" w:rsidRPr="0031249E" w:rsidRDefault="00536EAE" w:rsidP="001B43BA">
      <w:pPr>
        <w:tabs>
          <w:tab w:val="right" w:pos="4393"/>
        </w:tabs>
        <w:spacing w:line="240" w:lineRule="auto"/>
        <w:ind w:left="360"/>
        <w:rPr>
          <w:rFonts w:ascii="Cambria" w:hAnsi="Cambria"/>
          <w:b/>
          <w:szCs w:val="24"/>
        </w:rPr>
      </w:pPr>
      <w:r w:rsidRPr="0031249E">
        <w:rPr>
          <w:rFonts w:ascii="Cambria" w:hAnsi="Cambria"/>
          <w:b/>
          <w:szCs w:val="24"/>
        </w:rPr>
        <w:lastRenderedPageBreak/>
        <w:t>Gambar 6.</w:t>
      </w:r>
    </w:p>
    <w:p w14:paraId="4041A6F9" w14:textId="77777777" w:rsidR="00536EAE" w:rsidRPr="0031249E" w:rsidRDefault="00536EAE" w:rsidP="001B43BA">
      <w:pPr>
        <w:tabs>
          <w:tab w:val="right" w:pos="4393"/>
        </w:tabs>
        <w:spacing w:line="240" w:lineRule="auto"/>
        <w:ind w:left="360"/>
        <w:rPr>
          <w:rFonts w:ascii="Cambria" w:hAnsi="Cambria"/>
          <w:bCs/>
          <w:i/>
          <w:iCs/>
          <w:szCs w:val="24"/>
        </w:rPr>
      </w:pPr>
      <w:r w:rsidRPr="0031249E">
        <w:rPr>
          <w:rFonts w:ascii="Cambria" w:hAnsi="Cambria"/>
          <w:bCs/>
          <w:i/>
          <w:iCs/>
          <w:szCs w:val="24"/>
        </w:rPr>
        <w:t>Sepuluh Kata Relevan Teratas</w:t>
      </w:r>
    </w:p>
    <w:p w14:paraId="31AF7B4B" w14:textId="77777777" w:rsidR="00536EAE" w:rsidRPr="0031249E" w:rsidRDefault="00536EAE" w:rsidP="001B43BA">
      <w:pPr>
        <w:spacing w:line="240" w:lineRule="auto"/>
        <w:ind w:right="-1" w:firstLine="557"/>
        <w:rPr>
          <w:rFonts w:ascii="Cambria" w:hAnsi="Cambria"/>
          <w:bCs/>
          <w:szCs w:val="24"/>
        </w:rPr>
      </w:pPr>
      <w:r w:rsidRPr="0031249E">
        <w:rPr>
          <w:rFonts w:ascii="Cambria" w:hAnsi="Cambria"/>
          <w:noProof/>
          <w:szCs w:val="24"/>
        </w:rPr>
        <w:drawing>
          <wp:inline distT="0" distB="0" distL="0" distR="0" wp14:anchorId="4669881E" wp14:editId="5997D425">
            <wp:extent cx="3204845" cy="20123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04845" cy="2012315"/>
                    </a:xfrm>
                    <a:prstGeom prst="rect">
                      <a:avLst/>
                    </a:prstGeom>
                  </pic:spPr>
                </pic:pic>
              </a:graphicData>
            </a:graphic>
          </wp:inline>
        </w:drawing>
      </w:r>
    </w:p>
    <w:p w14:paraId="3419C81C" w14:textId="77777777" w:rsidR="00536EAE" w:rsidRPr="0031249E" w:rsidRDefault="00536EAE" w:rsidP="001B43BA">
      <w:pPr>
        <w:spacing w:line="240" w:lineRule="auto"/>
        <w:ind w:right="-1" w:firstLine="557"/>
        <w:rPr>
          <w:rFonts w:ascii="Cambria" w:hAnsi="Cambria"/>
          <w:bCs/>
          <w:szCs w:val="24"/>
        </w:rPr>
      </w:pPr>
      <w:r w:rsidRPr="0031249E">
        <w:rPr>
          <w:rFonts w:ascii="Cambria" w:hAnsi="Cambria"/>
          <w:bCs/>
          <w:szCs w:val="24"/>
        </w:rPr>
        <w:t>Berdasarkan kata-kata yang paling relevan, kata-kata yang sering muncul adalah terkait dengan pembahasan kinerja reksa dana syariah di Indonesia. Penelitian sebelumnya mengukur kinerja reksa dana syariah di Indonesia</w:t>
      </w:r>
      <w:r w:rsidRPr="0031249E">
        <w:rPr>
          <w:rFonts w:ascii="Cambria" w:hAnsi="Cambria"/>
          <w:bCs/>
          <w:szCs w:val="24"/>
        </w:rPr>
        <w:fldChar w:fldCharType="begin" w:fldLock="1"/>
      </w:r>
      <w:r w:rsidRPr="0031249E">
        <w:rPr>
          <w:rFonts w:ascii="Cambria" w:hAnsi="Cambria"/>
          <w:bCs/>
          <w:szCs w:val="24"/>
        </w:rPr>
        <w:instrText>ADDIN CSL_CITATION {"citationItems":[{"id":"ITEM-1","itemData":{"DOI":"10.17509/jrak.v4i2.4043","ISSN":"2338-1507","abstract":"Penelitian ini bertujuan untuk mengetahui kinerja Reksadana Syariah di Indonesia khususnya Reksadana jenis saham dengan periode penelitian 2010- 2014. Metode pengukuran kinerja yang digunakan adalah Sharpe Ratio. Data yang digunakan dalam penelitian ini adalah data sekunder dengan sampel 6 Reksadana Saham Syariah dengan teknik pengambilan sampel menggunakan purposive sampling. Tehnik analisis yang digunakan dalam penelitian ini adalah teknik deskriptif dengan pendekatan kuantitatif. Hasil penelitian menunjukkan bahwa Reksadana Cipta Syariah Equity merupakan Reksadana Saham Syariah yang memiliki kinerja terbaik dibandingkan dengan Reksadana Saham Syariah lainnya","author":[{"dropping-particle":"","family":"Waridah","given":"Winda","non-dropping-particle":"","parse-names":false,"suffix":""},{"dropping-particle":"","family":"Mediawati","given":"Elis","non-dropping-particle":"","parse-names":false,"suffix":""}],"container-title":"Jurnal Riset Akuntansi dan Keuangan","id":"ITEM-1","issue":"2","issued":{"date-parts":[["2016"]]},"page":"1077-1086","title":"Analisis Kinerja Reksadana Syariah","type":"article-journal","volume":"4"},"uris":["http://www.mendeley.com/documents/?uuid=9e6ac088-099a-495e-8681-827f7ebc43c5"]},{"id":"ITEM-2","itemData":{"DOI":"10.46367/jas.v3i1.167","ISSN":"25493086","abstract":"Tujuan dari penelitian ini adalah untuk menganalisis kinerja reksadana syariah yang meliputi saham, pendapatan tetap, campuran, dan pasar uang. Jenis penelitian yang dilakukan adalah penelitian deskriptif kuantitatif. Metode pengumpulan data dalam penelitian ini adalah teknik dokumentasi dengan data sekunder yaitu melalui situs resmi bareksa.com. Pengukuran kinerja reksadana syariah dalam penelitan ini menggunakan satu metode saja yaitu metode sharpe. Berdasarkan perhitungan Sharpe dapat disimpulkan bahwa kinerja tertinggi di antara reksa dana syariah yang meliputi saham, pendapatan tetap, campuran dan pasar uang pada tahun 2015, 2016, dan 2017 adalah reksa dana saham syariah.","author":[{"dropping-particle":"","family":"Sepdiana","given":"Nana","non-dropping-particle":"","parse-names":false,"suffix":""}],"container-title":"JAS (Jurnal Akuntansi Syariah)","id":"ITEM-2","issue":"1","issued":{"date-parts":[["2019"]]},"page":"118-132","title":"Kinerja Reksa Dana Syariah Di Pasar Modal Indonesia","type":"article-journal","volume":"3"},"uris":["http://www.mendeley.com/documents/?uuid=bbe3ef28-096c-4b38-a9c9-27df631f8674"]},{"id":"ITEM-3","itemData":{"DOI":"10.25299/jtb.2021.vol4(2).7422","ISSN":"2621-6833","abstract":"Penelitian ini bertujuan meninjau perkembangan investasi reksadana syariah yang terdaftar dalam Otoritas Jasa Keuangan pada periode era new normal. Data yang dianalisis pada penelitian ini yaitu data sekunder, serta pengambilan sampel menggunakan purposive sampling. Teknik analisis yang digunakan dalam penelitian ini adalah deskriptif dengan pendekatan kuantitatif. Berdasarkan hasil penelitian yang telah dijabarkan, eksistensi kinerja reksadana syariah tumbuh positif pada era new normal. Hal itu berdasarkan: (1) Tingkat return reksadana positif ditinjau dari Compound Annual Growth Rate (CAGR), dalam CAGR 1Y peningkatan paling tinggi sebesar +63.97% dan paling rendah +2.59%,  (2) Tingkat kerugian yang paling tinggi periode satu tahun terakhir ditinjau dari drawdown 1Y paling rendah yaitu sebesar 0,01% dan drawdown tertinggi sebesar -19.30%, (3) Terdapat peningkatan jumlah dana yang dikelola ditinjau dari nilai AUM (Asset Under Management) 1Y pertumbuhan paling tinggi +536.31B dan penurunan paling rendah -152.71 B, (4) Pertumbuhan nilai pasar reksadana saat ini, ditinjau dari Net Asset Value (NAV) 1Y seluruh sampel tumbuh positif dengan tambahan paling tinggi sebesar +753.65, dan paling rendah +22.20.","author":[{"dropping-particle":"","family":"Rapini","given":"Titi","non-dropping-particle":"","parse-names":false,"suffix":""},{"dropping-particle":"","family":"Farida","given":"Umi","non-dropping-particle":"","parse-names":false,"suffix":""},{"dropping-particle":"","family":"Listyono Putro","given":"Rizki","non-dropping-particle":"","parse-names":false,"suffix":""}],"container-title":"Jurnal Tabarru': Islamic Banking and Finance","id":"ITEM-3","issue":"2","issued":{"date-parts":[["2021"]]},"page":"356-368","title":"Eksistensi Kinerja Reksadana Syariah Pada Era New Normal","type":"article-journal","volume":"4"},"uris":["http://www.mendeley.com/documents/?uuid=a01a456d-98e6-41d7-b6e2-b34130024841"]},{"id":"ITEM-4","itemData":{"DOI":"10.24235/amwal.v1i1.5443","ISSN":"2303-1573","abstract":"Net asset value is one of the indicators used in measuring the performance of a mutual fund. This study aims to examine what factors determine the net asset value of Islamic mutual funds in Indonesia. By using the vector error correction model, this study found that in the short term all variables did not affect the net asset value. But the composite stock price index (IHSG) and the rate of return have a long-term effect. These results indicate that the company must strengthen the company's internal aspects to improve the performance of the Islamic mutual funds it manages","author":[{"dropping-particle":"","family":"Septiana","given":"Ficky","non-dropping-particle":"","parse-names":false,"suffix":""},{"dropping-particle":"","family":"Arif","given":"M. Nur Rianto","non-dropping-particle":"Al","parse-names":false,"suffix":""}],"container-title":"Al-Amwal : Jurnal Ekonomi dan Perbankan Syari'ah","id":"ITEM-4","issue":"1","issued":{"date-parts":[["2020"]]},"page":"1","title":"Determinants of Net Asset Value of Islamic Mutual Funds in Indonesia","type":"article-journal","volume":"12"},"uris":["http://www.mendeley.com/documents/?uuid=2b2178a9-773c-4920-90a7-9fba18d71204"]}],"mendeley":{"formattedCitation":"(Rapini et al., 2021; Sepdiana, 2019; Septiana &amp; Al Arif, 2020; Waridah &amp; Mediawati, 2016)","plainTextFormattedCitation":"(Rapini et al., 2021; Sepdiana, 2019; Septiana &amp; Al Arif, 2020; Waridah &amp; Mediawati, 2016)","previouslyFormattedCitation":"(Rapini et al., 2021; Sepdiana, 2019; Septiana &amp; Al Arif, 2020; Waridah &amp; Mediawati, 2016)"},"properties":{"noteIndex":0},"schema":"https://github.com/citation-style-language/schema/raw/master/csl-citation.json"}</w:instrText>
      </w:r>
      <w:r w:rsidRPr="0031249E">
        <w:rPr>
          <w:rFonts w:ascii="Cambria" w:hAnsi="Cambria"/>
          <w:bCs/>
          <w:szCs w:val="24"/>
        </w:rPr>
        <w:fldChar w:fldCharType="separate"/>
      </w:r>
      <w:r w:rsidRPr="0031249E">
        <w:rPr>
          <w:rFonts w:ascii="Cambria" w:hAnsi="Cambria"/>
          <w:bCs/>
          <w:noProof/>
          <w:szCs w:val="24"/>
        </w:rPr>
        <w:t>(Rapini dkk., 2021; Sepdiana, 2019; Septiana &amp; Al Arif, 2020; Waridah &amp; Mediawati, 2016)</w:t>
      </w:r>
      <w:r w:rsidRPr="0031249E">
        <w:rPr>
          <w:rFonts w:ascii="Cambria" w:hAnsi="Cambria"/>
          <w:bCs/>
          <w:szCs w:val="24"/>
        </w:rPr>
        <w:fldChar w:fldCharType="end"/>
      </w:r>
      <w:r w:rsidRPr="0031249E">
        <w:rPr>
          <w:rFonts w:ascii="Cambria" w:hAnsi="Cambria"/>
          <w:bCs/>
          <w:szCs w:val="24"/>
        </w:rPr>
        <w:t>. Hal ini sesuai dengan hasil penelitian yang mengevaluasi kinerja reksa dana syariah di Indonesia dan Malaysia</w:t>
      </w:r>
      <w:r w:rsidRPr="0031249E">
        <w:rPr>
          <w:rFonts w:ascii="Cambria" w:hAnsi="Cambria"/>
          <w:bCs/>
          <w:szCs w:val="24"/>
        </w:rPr>
        <w:fldChar w:fldCharType="begin" w:fldLock="1"/>
      </w:r>
      <w:r w:rsidRPr="0031249E">
        <w:rPr>
          <w:rFonts w:ascii="Cambria" w:hAnsi="Cambria"/>
          <w:bCs/>
          <w:szCs w:val="24"/>
        </w:rPr>
        <w:instrText>ADDIN CSL_CITATION {"citationItems":[{"id":"ITEM-1","itemData":{"DOI":"10.24269/ekuilibrium.v13i1.918","ISSN":"1858-165X","abstract":"The objective of this study is to evaluate the performance of Islamic mutual funds in Indonesia and Malaysia. Research conducted on the types of shares mutual funds in the period 2014 until 2016. The technique sample used was purposive sampling method with 13 Islamic mutual funds in Indonesia and 72 Islamic mutual funds in Malaysia. Fund performance measured by Sharpe index, Treynor index, and Index of jenesen’s Alpha. The results of this study showed in 2014 and 2016 Islamic mutual fund performance be superior to Indonesia than Malaysia. While in 2015 Islamic mutual fund performance Malaysia be superior compared to Indonesia. Based on the results of this research, it is recommended for investment managers to increase the publication of and understanding of mutual funds so that more potential investors who are interested in investing in mutual funds in particular Islamic mutual funds.","author":[{"dropping-particle":"","family":"Basuki","given":"Novianto","non-dropping-particle":"","parse-names":false,"suffix":""},{"dropping-particle":"","family":"Khoiruddin","given":"Moh","non-dropping-particle":"","parse-names":false,"suffix":""}],"container-title":"Ekuilibrium : Jurnal Ilmiah Bidang Ilmu Ekonomi","id":"ITEM-1","issue":"1","issued":{"date-parts":[["2018"]]},"page":"26","title":"Comparative Performance Islamic Shares Mutual Funds Between Indonesia And Malaysia","type":"article-journal","volume":"13"},"uris":["http://www.mendeley.com/documents/?uuid=997cb8bc-f31a-4de1-a638-a3a18eafcbaa"]}],"mendeley":{"formattedCitation":"(Basuki &amp; Khoiruddin, 2018)","plainTextFormattedCitation":"(Basuki &amp; Khoiruddin, 2018)","previouslyFormattedCitation":"(Basuki &amp; Khoiruddin, 2018)"},"properties":{"noteIndex":0},"schema":"https://github.com/citation-style-language/schema/raw/master/csl-citation.json"}</w:instrText>
      </w:r>
      <w:r w:rsidRPr="0031249E">
        <w:rPr>
          <w:rFonts w:ascii="Cambria" w:hAnsi="Cambria"/>
          <w:bCs/>
          <w:szCs w:val="24"/>
        </w:rPr>
        <w:fldChar w:fldCharType="separate"/>
      </w:r>
      <w:r w:rsidRPr="0031249E">
        <w:rPr>
          <w:rFonts w:ascii="Cambria" w:hAnsi="Cambria"/>
          <w:bCs/>
          <w:noProof/>
          <w:szCs w:val="24"/>
        </w:rPr>
        <w:t>(Basuki &amp; Khoiruddin, 2018)</w:t>
      </w:r>
      <w:r w:rsidRPr="0031249E">
        <w:rPr>
          <w:rFonts w:ascii="Cambria" w:hAnsi="Cambria"/>
          <w:bCs/>
          <w:szCs w:val="24"/>
        </w:rPr>
        <w:fldChar w:fldCharType="end"/>
      </w:r>
      <w:r w:rsidRPr="0031249E">
        <w:rPr>
          <w:rFonts w:ascii="Cambria" w:hAnsi="Cambria"/>
          <w:bCs/>
          <w:szCs w:val="24"/>
        </w:rPr>
        <w:t>.</w:t>
      </w:r>
    </w:p>
    <w:p w14:paraId="5C1EA82C" w14:textId="77777777" w:rsidR="00536EAE" w:rsidRPr="0031249E" w:rsidRDefault="00536EAE" w:rsidP="001B43BA">
      <w:pPr>
        <w:spacing w:line="240" w:lineRule="auto"/>
        <w:ind w:right="-1" w:firstLine="557"/>
        <w:rPr>
          <w:rFonts w:ascii="Cambria" w:hAnsi="Cambria"/>
          <w:bCs/>
          <w:szCs w:val="24"/>
        </w:rPr>
      </w:pPr>
    </w:p>
    <w:p w14:paraId="1F267D33" w14:textId="77777777" w:rsidR="00536EAE" w:rsidRPr="0031249E" w:rsidRDefault="00536EAE" w:rsidP="001B43BA">
      <w:pPr>
        <w:spacing w:line="240" w:lineRule="auto"/>
        <w:ind w:right="-1"/>
        <w:rPr>
          <w:rFonts w:ascii="Cambria" w:hAnsi="Cambria"/>
          <w:b/>
          <w:szCs w:val="24"/>
        </w:rPr>
      </w:pPr>
      <w:r w:rsidRPr="0031249E">
        <w:rPr>
          <w:rFonts w:ascii="Cambria" w:hAnsi="Cambria"/>
          <w:b/>
          <w:szCs w:val="24"/>
        </w:rPr>
        <w:t>Analisis Kutipan</w:t>
      </w:r>
    </w:p>
    <w:p w14:paraId="229DBF82" w14:textId="77777777" w:rsidR="00536EAE" w:rsidRPr="0031249E" w:rsidRDefault="00536EAE" w:rsidP="001B43BA">
      <w:pPr>
        <w:tabs>
          <w:tab w:val="right" w:pos="4393"/>
        </w:tabs>
        <w:spacing w:after="0" w:line="240" w:lineRule="auto"/>
        <w:ind w:left="360"/>
        <w:rPr>
          <w:rFonts w:ascii="Cambria" w:hAnsi="Cambria"/>
          <w:b/>
          <w:szCs w:val="24"/>
        </w:rPr>
      </w:pPr>
    </w:p>
    <w:p w14:paraId="18C897A0" w14:textId="77777777" w:rsidR="00536EAE" w:rsidRPr="0031249E" w:rsidRDefault="00536EAE" w:rsidP="001B43BA">
      <w:pPr>
        <w:spacing w:line="240" w:lineRule="auto"/>
        <w:ind w:right="-1" w:firstLine="557"/>
        <w:rPr>
          <w:rFonts w:ascii="Cambria" w:hAnsi="Cambria"/>
          <w:bCs/>
          <w:szCs w:val="24"/>
        </w:rPr>
      </w:pPr>
      <w:r w:rsidRPr="0031249E">
        <w:rPr>
          <w:rFonts w:ascii="Cambria" w:hAnsi="Cambria"/>
          <w:bCs/>
          <w:szCs w:val="24"/>
        </w:rPr>
        <w:t>Gambar 7 menunjukkan dokumen yang paling banyak dikutip di bidang reksa dana syariah di Indonesia. Dokumen yang paling banyak dikutip adalah</w:t>
      </w:r>
    </w:p>
    <w:p w14:paraId="626D8DD8" w14:textId="77777777" w:rsidR="00536EAE" w:rsidRPr="0031249E" w:rsidRDefault="00536EAE" w:rsidP="001B43BA">
      <w:pPr>
        <w:pStyle w:val="ListParagraph"/>
        <w:numPr>
          <w:ilvl w:val="0"/>
          <w:numId w:val="8"/>
        </w:numPr>
        <w:spacing w:line="240" w:lineRule="auto"/>
        <w:ind w:right="-1"/>
        <w:rPr>
          <w:rFonts w:ascii="Cambria" w:hAnsi="Cambria"/>
          <w:bCs/>
          <w:szCs w:val="24"/>
        </w:rPr>
      </w:pPr>
      <w:r w:rsidRPr="0031249E">
        <w:rPr>
          <w:rFonts w:ascii="Cambria" w:hAnsi="Cambria"/>
          <w:bCs/>
          <w:szCs w:val="24"/>
        </w:rPr>
        <w:fldChar w:fldCharType="begin" w:fldLock="1"/>
      </w:r>
      <w:r w:rsidRPr="0031249E">
        <w:rPr>
          <w:rFonts w:ascii="Cambria" w:hAnsi="Cambria"/>
          <w:bCs/>
          <w:szCs w:val="24"/>
        </w:rPr>
        <w:instrText>ADDIN CSL_CITATION {"citationItems":[{"id":"ITEM-1","itemData":{"DOI":"10.1108/IMEFM-10-2013-0113","ISBN":"1020130113","ISSN":"17538408","abstract":"Purpose – This paper aims to illustrate theoretically and empirically the decision and result of strategic alliance between baitul maal wa tamwil (BMT) and Islamic banks as a relationship based on trust, mutual-trustworthiness and commitment. This paper also identifies the basic criteria for the resilience of a strategic alliance, the challenges and the barriers in a strategic relationship along with managerial and operational implications. Design/methodology/approach – In this study, we have chosen to use the confirmatory approach through a structured questionnaire by means of field survey to 131 BMT spread throughout Central Java and Yogyakarta. From the total sample, 89 BMT fulfilled the sampling criteria, that is: has operated for a minimum of two years and does not experience any financial difficulties during those two years; has done a financing contract with an Islamic bank; channels some of its funds to micro, small and medium enterprises; and is in the form of a cooperative, and not a micro financial institute. Data treatment uses the method of listwise deletion. Data analysis uses equation model with the software LISREL version 8.80. To validate the result of data analysis, we have also run a focus group discussion with Directorate of Syariah Banking, Bank of Indonesia, and in-depth interviews with BMT parent cluster (Inkopsyah). Findings – This research shows that commitment contributes positively in achieving the financial goals of an alliance. Coordination and initial agreement has a positive and significant influence in forming commitment from BMT and trust from Islamic banks. Other than coordination and initial agreement, the trust given by Islamic banks also came from the social capital owned by BMT. Originality/value – The trust and commitment will assist the building of strategic alliance between Islamic banks and BMT. Apart from financial purposes, the alliance between the two will also encourage natural knowledge-sharing.","author":[{"dropping-particle":"","family":"Wahyudi","given":"Imam","non-dropping-particle":"","parse-names":false,"suffix":""}],"container-title":"International Journal of Islamic and Middle Eastern Finance and Management","id":"ITEM-1","issue":"4","issued":{"date-parts":[["2014"]]},"page":"421-442","title":"Commitment and trust in achieving financial goals of strategic alliance: Case in Islamic microfinance","type":"article-journal","volume":"7"},"uris":["http://www.mendeley.com/documents/?uuid=4c64c4e0-080d-4e26-8f58-31a98f89a400"]}],"mendeley":{"formattedCitation":"(Wahyudi, 2014)","manualFormatting":"Wahyudi (2014)","plainTextFormattedCitation":"(Wahyudi, 2014)","previouslyFormattedCitation":"(Wahyudi, 2014)"},"properties":{"noteIndex":0},"schema":"https://github.com/citation-style-language/schema/raw/master/csl-citation.json"}</w:instrText>
      </w:r>
      <w:r w:rsidRPr="0031249E">
        <w:rPr>
          <w:rFonts w:ascii="Cambria" w:hAnsi="Cambria"/>
          <w:bCs/>
          <w:szCs w:val="24"/>
        </w:rPr>
        <w:fldChar w:fldCharType="separate"/>
      </w:r>
      <w:r w:rsidRPr="0031249E">
        <w:rPr>
          <w:rFonts w:ascii="Cambria" w:hAnsi="Cambria"/>
          <w:bCs/>
          <w:noProof/>
          <w:szCs w:val="24"/>
        </w:rPr>
        <w:t>Wahyudi (2014)</w:t>
      </w:r>
      <w:r w:rsidRPr="0031249E">
        <w:rPr>
          <w:rFonts w:ascii="Cambria" w:hAnsi="Cambria"/>
          <w:bCs/>
          <w:szCs w:val="24"/>
        </w:rPr>
        <w:fldChar w:fldCharType="end"/>
      </w:r>
      <w:r w:rsidRPr="0031249E">
        <w:rPr>
          <w:rFonts w:ascii="Cambria" w:hAnsi="Cambria"/>
          <w:bCs/>
          <w:szCs w:val="24"/>
        </w:rPr>
        <w:t>menggambarkan secara teoritis dan empiris keputusan dan hasil aliansi strategis antara baitul maal wa tamwil (BMT) dan bank syariah sebagai hubungan yang didasarkan pada kepercayaan, saling percaya, dan komitmen. Makalah tersebut melaporkan bahwa komitmen memberikan kontribusi positif untuk mencapai tujuan keuangan aliansi.</w:t>
      </w:r>
    </w:p>
    <w:p w14:paraId="1FE78491" w14:textId="77777777" w:rsidR="006D4C96" w:rsidRPr="0031249E" w:rsidRDefault="00536EAE" w:rsidP="001B43BA">
      <w:pPr>
        <w:pStyle w:val="ListParagraph"/>
        <w:numPr>
          <w:ilvl w:val="0"/>
          <w:numId w:val="8"/>
        </w:numPr>
        <w:spacing w:line="240" w:lineRule="auto"/>
        <w:ind w:right="-1"/>
        <w:rPr>
          <w:rFonts w:ascii="Cambria" w:hAnsi="Cambria"/>
          <w:bCs/>
          <w:szCs w:val="24"/>
        </w:rPr>
      </w:pPr>
      <w:r w:rsidRPr="0031249E">
        <w:rPr>
          <w:rFonts w:ascii="Cambria" w:hAnsi="Cambria"/>
          <w:bCs/>
          <w:szCs w:val="24"/>
        </w:rPr>
        <w:fldChar w:fldCharType="begin" w:fldLock="1"/>
      </w:r>
      <w:r w:rsidRPr="0031249E">
        <w:rPr>
          <w:rFonts w:ascii="Cambria" w:hAnsi="Cambria"/>
          <w:bCs/>
          <w:szCs w:val="24"/>
        </w:rPr>
        <w:instrText>ADDIN CSL_CITATION {"citationItems":[{"id":"ITEM-1","itemData":{"DOI":"10.22146/gamaijb.5439","ISSN":"14111128","abstract":"This paper is an extended version of our earlier study (Abd. Majid and Maulana 2010) to further re-examine the relative efficiencies of selected Islamic and conventional mutual funds companies in Indonesia during the period 2004 to 2007 and their determinants. To measure their efficiencies, the output-input data consisting of a panel of conventional and Islamic mutual funds companies are empirically examined based on the most commonly used non-parametric approach, namely, Data Envelopment Analysis (DEA). It also attempts to investigate the influence of the mutual funds companies' characteristics on efficiency measures using the Generalized Least Square (GLS) estimation. The study finds that, on average, the Indonesian mutual funds companies experienced a decrease in Total Factor Productivity (TFP) growth. It is mainly caused by a decline in both efficiency and technical efficiencies, where the efficiency change is largely contributed by the changes in pure efficiency rather than scale efficiency. Additionally, the study also documents that the funds size negatively affects efficiency. This indicates that due to its diseconomies of scale, a larger mutual funds company is less efficient than a smaller funds company. Finally, in comparing the efficiency of the mutual funds companies, the study finds that, on average, the Islamic unit trust companies perform more poorly than their conventional counterparts.","author":[{"dropping-particle":"","family":"Abd. Majid","given":"M. Shabri","non-dropping-particle":"","parse-names":false,"suffix":""},{"dropping-particle":"","family":"Maulana","given":"Hartomi","non-dropping-particle":"","parse-names":false,"suffix":""}],"container-title":"Gadjah Mada International Journal of Business","id":"ITEM-1","issue":"2","issued":{"date-parts":[["2012"]]},"page":"183-208","title":"A comparative analysis of the productivity of Islamic and conventional mutual funds in Indonesia: Data envelopment analysis (DEA) and general least square (GLS) approaches","type":"article-journal","volume":"14"},"uris":["http://www.mendeley.com/documents/?uuid=7de27e8c-4208-460a-8e49-6ec64acad757"]}],"mendeley":{"formattedCitation":"(Abd. Majid &amp; Maulana, 2012)","manualFormatting":"Abd. Majid &amp; Maulana (2012)","plainTextFormattedCitation":"(Abd. Majid &amp; Maulana, 2012)","previouslyFormattedCitation":"(Abd. Majid &amp; Maulana, 2012)"},"properties":{"noteIndex":0},"schema":"https://github.com/citation-style-language/schema/raw/master/csl-citation.json"}</w:instrText>
      </w:r>
      <w:r w:rsidRPr="0031249E">
        <w:rPr>
          <w:rFonts w:ascii="Cambria" w:hAnsi="Cambria"/>
          <w:bCs/>
          <w:szCs w:val="24"/>
        </w:rPr>
        <w:fldChar w:fldCharType="separate"/>
      </w:r>
      <w:r w:rsidRPr="0031249E">
        <w:rPr>
          <w:rFonts w:ascii="Cambria" w:hAnsi="Cambria"/>
          <w:bCs/>
          <w:noProof/>
          <w:szCs w:val="24"/>
        </w:rPr>
        <w:t>Abd. Majid &amp; Maulana (2012)</w:t>
      </w:r>
      <w:r w:rsidRPr="0031249E">
        <w:rPr>
          <w:rFonts w:ascii="Cambria" w:hAnsi="Cambria"/>
          <w:bCs/>
          <w:szCs w:val="24"/>
        </w:rPr>
        <w:fldChar w:fldCharType="end"/>
      </w:r>
      <w:r w:rsidRPr="0031249E">
        <w:rPr>
          <w:rFonts w:ascii="Cambria" w:hAnsi="Cambria"/>
          <w:bCs/>
          <w:szCs w:val="24"/>
        </w:rPr>
        <w:t>mengkaji kembali efisiensi relatif perusahaan reksa dana syariah dan konvensional terpilih di Indonesia (2004-2007) dan determinannya. Makalah tersebut melaporkan bahwa perusahaan reksa dana Indonesia mengalami penurunan pertumbuhan Total Factor Productivity (TFP) Selain itu, perusahaan perwalian unit syariah berkinerja lebih buruk daripada rekanan konvensional mereka.</w:t>
      </w:r>
    </w:p>
    <w:p w14:paraId="0FD57423" w14:textId="77777777" w:rsidR="006D4C96" w:rsidRPr="0031249E" w:rsidRDefault="006D4C96" w:rsidP="001B43BA">
      <w:pPr>
        <w:pStyle w:val="ListParagraph"/>
        <w:numPr>
          <w:ilvl w:val="0"/>
          <w:numId w:val="8"/>
        </w:numPr>
        <w:spacing w:line="240" w:lineRule="auto"/>
        <w:ind w:right="-1"/>
        <w:rPr>
          <w:rFonts w:ascii="Cambria" w:hAnsi="Cambria"/>
          <w:bCs/>
          <w:szCs w:val="24"/>
        </w:rPr>
      </w:pPr>
      <w:r w:rsidRPr="0031249E">
        <w:rPr>
          <w:rFonts w:ascii="Cambria" w:hAnsi="Cambria"/>
          <w:bCs/>
          <w:szCs w:val="24"/>
        </w:rPr>
        <w:fldChar w:fldCharType="begin" w:fldLock="1"/>
      </w:r>
      <w:r w:rsidRPr="0031249E">
        <w:rPr>
          <w:rFonts w:ascii="Cambria" w:hAnsi="Cambria"/>
          <w:bCs/>
          <w:szCs w:val="24"/>
        </w:rPr>
        <w:instrText>ADDIN CSL_CITATION {"citationItems":[{"id":"ITEM-1","itemData":{"DOI":"10.1108/17590811211265966","ISBN":"1759081121126","ISSN":"17590825","abstract":"Purpose – The purpose of this paper is to discuss some unique phenomena on Islamic fixed (sukuk) mutual fund price during financial global crisis in Indonesia. It aims to show that the sukuk mutual fund did not adopt the actual price of sukuk which may contradict Islamic teaching with regards to transparency and could cause investors to make wrong decisions. In addition the paper also aims to analyse correlation analysis, dependency of sukuk price to conventional bond and proposed recommendations. Design/methodology/approach – The study applies benchmarking graph analysis, Pearson correlation as well as Correlogram Granger Causality test and Response to Cholesky. To show that sukuk did not adopt the actual price, benchmarking analysis and correlation analysis were conducted as additional tools. Findings – The paper finds that the sukuk price movements were affected by the conventional bond and have a strong correlation, while the Islamic fixed mutual fund did not apply the actual price, which was unstabler. This has caused the fund to remain in a steadily increasing trend and stable; in addition, this has brought about good performance which actually did not show the real price. Practical implications – This research is practically of benefit because it helps to show the correlation of price movement in sukuk and conventional bond. Fund managers should be transparent in marking the real price and prudent in managing the liquid reserve of the sukuk mutual fund. Originality/value – This case may only occur in Indonesia as decreasing price of stocks and bonds in the USA has habitually caused the same to be seen as very expensive in some countries. Thus, bond price in Indonesia was affected significantly; this was actually caused by panic action. Foreign investors withdrew their funds because of liquidity and currency depreciation. On the other hand, an Islamic market that might be based on a conventional system was indirectly affected with benchmarking price problems. Sukuk mutual fund performance would look nice and stable as it did not adopt the actual price, this could mislead the performance analysis of the fund.","author":[{"dropping-particle":"","family":"Siswantoro","given":"Dodik","non-dropping-particle":"","parse-names":false,"suffix":""}],"container-title":"Journal of Islamic Accounting and Business Research","id":"ITEM-1","issue":"2","issued":{"date-parts":[["2012"]]},"page":"163-177","title":"Is “not-real” price lawful? : The case of Islamic (sukuk) mutual funds in Indonesia during financial crisis","type":"article-journal","volume":"3"},"uris":["http://www.mendeley.com/documents/?uuid=f3aa7024-93c4-42c9-9884-57606d1e2ced"]}],"mendeley":{"formattedCitation":"(Siswantoro, 2012)","manualFormatting":"Siswantoro (2012)","plainTextFormattedCitation":"(Siswantoro, 2012)","previouslyFormattedCitation":"(Siswantoro, 2012)"},"properties":{"noteIndex":0},"schema":"https://github.com/citation-style-language/schema/raw/master/csl-citation.json"}</w:instrText>
      </w:r>
      <w:r w:rsidRPr="0031249E">
        <w:rPr>
          <w:rFonts w:ascii="Cambria" w:hAnsi="Cambria"/>
          <w:bCs/>
          <w:szCs w:val="24"/>
        </w:rPr>
        <w:fldChar w:fldCharType="separate"/>
      </w:r>
      <w:r w:rsidRPr="0031249E">
        <w:rPr>
          <w:rFonts w:ascii="Cambria" w:hAnsi="Cambria"/>
          <w:bCs/>
          <w:noProof/>
          <w:szCs w:val="24"/>
        </w:rPr>
        <w:t>Siswantoro (2012)</w:t>
      </w:r>
      <w:r w:rsidRPr="0031249E">
        <w:rPr>
          <w:rFonts w:ascii="Cambria" w:hAnsi="Cambria"/>
          <w:bCs/>
          <w:szCs w:val="24"/>
        </w:rPr>
        <w:fldChar w:fldCharType="end"/>
      </w:r>
      <w:r w:rsidRPr="0031249E">
        <w:rPr>
          <w:rFonts w:ascii="Cambria" w:hAnsi="Cambria"/>
          <w:bCs/>
          <w:szCs w:val="24"/>
        </w:rPr>
        <w:t xml:space="preserve">membahas beberapa fenomena unik pada harga reksa dana tetap (sukuk) syariah selama krisis keuangan global di Indonesia. Makalah ini melaporkan bahwa pergerakan harga sukuk dipengaruhi oleh obligasi konvensional dan memiliki korelasi yang kuat, sedangkan reksa dana </w:t>
      </w:r>
      <w:proofErr w:type="spellStart"/>
      <w:r w:rsidRPr="0031249E">
        <w:rPr>
          <w:rFonts w:ascii="Cambria" w:hAnsi="Cambria"/>
          <w:bCs/>
          <w:szCs w:val="24"/>
        </w:rPr>
        <w:t>tetap</w:t>
      </w:r>
      <w:proofErr w:type="spellEnd"/>
      <w:r w:rsidRPr="0031249E">
        <w:rPr>
          <w:rFonts w:ascii="Cambria" w:hAnsi="Cambria"/>
          <w:bCs/>
          <w:szCs w:val="24"/>
        </w:rPr>
        <w:t xml:space="preserve"> syariah </w:t>
      </w:r>
      <w:proofErr w:type="spellStart"/>
      <w:r w:rsidRPr="0031249E">
        <w:rPr>
          <w:rFonts w:ascii="Cambria" w:hAnsi="Cambria"/>
          <w:bCs/>
          <w:szCs w:val="24"/>
        </w:rPr>
        <w:t>tidak</w:t>
      </w:r>
      <w:proofErr w:type="spellEnd"/>
      <w:r w:rsidRPr="0031249E">
        <w:rPr>
          <w:rFonts w:ascii="Cambria" w:hAnsi="Cambria"/>
          <w:bCs/>
          <w:szCs w:val="24"/>
        </w:rPr>
        <w:t xml:space="preserve"> </w:t>
      </w:r>
      <w:proofErr w:type="spellStart"/>
      <w:r w:rsidRPr="0031249E">
        <w:rPr>
          <w:rFonts w:ascii="Cambria" w:hAnsi="Cambria"/>
          <w:bCs/>
          <w:szCs w:val="24"/>
        </w:rPr>
        <w:t>berlaku</w:t>
      </w:r>
      <w:proofErr w:type="spellEnd"/>
      <w:r w:rsidRPr="0031249E">
        <w:rPr>
          <w:rFonts w:ascii="Cambria" w:hAnsi="Cambria"/>
          <w:bCs/>
          <w:szCs w:val="24"/>
        </w:rPr>
        <w:t xml:space="preserve"> </w:t>
      </w:r>
      <w:proofErr w:type="spellStart"/>
      <w:r w:rsidRPr="0031249E">
        <w:rPr>
          <w:rFonts w:ascii="Cambria" w:hAnsi="Cambria"/>
          <w:bCs/>
          <w:szCs w:val="24"/>
        </w:rPr>
        <w:t>harga</w:t>
      </w:r>
      <w:proofErr w:type="spellEnd"/>
      <w:r w:rsidRPr="0031249E">
        <w:rPr>
          <w:rFonts w:ascii="Cambria" w:hAnsi="Cambria"/>
          <w:bCs/>
          <w:szCs w:val="24"/>
        </w:rPr>
        <w:t xml:space="preserve"> </w:t>
      </w:r>
      <w:proofErr w:type="spellStart"/>
      <w:r w:rsidRPr="0031249E">
        <w:rPr>
          <w:rFonts w:ascii="Cambria" w:hAnsi="Cambria"/>
          <w:bCs/>
          <w:szCs w:val="24"/>
        </w:rPr>
        <w:t>sebenarnya</w:t>
      </w:r>
      <w:proofErr w:type="spellEnd"/>
      <w:r w:rsidRPr="0031249E">
        <w:rPr>
          <w:rFonts w:ascii="Cambria" w:hAnsi="Cambria"/>
          <w:bCs/>
          <w:szCs w:val="24"/>
        </w:rPr>
        <w:t xml:space="preserve">, yang </w:t>
      </w:r>
      <w:proofErr w:type="spellStart"/>
      <w:r w:rsidRPr="0031249E">
        <w:rPr>
          <w:rFonts w:ascii="Cambria" w:hAnsi="Cambria"/>
          <w:bCs/>
          <w:szCs w:val="24"/>
        </w:rPr>
        <w:t>tidak</w:t>
      </w:r>
      <w:proofErr w:type="spellEnd"/>
      <w:r w:rsidRPr="0031249E">
        <w:rPr>
          <w:rFonts w:ascii="Cambria" w:hAnsi="Cambria"/>
          <w:bCs/>
          <w:szCs w:val="24"/>
        </w:rPr>
        <w:t xml:space="preserve"> </w:t>
      </w:r>
      <w:proofErr w:type="spellStart"/>
      <w:r w:rsidRPr="0031249E">
        <w:rPr>
          <w:rFonts w:ascii="Cambria" w:hAnsi="Cambria"/>
          <w:bCs/>
          <w:szCs w:val="24"/>
        </w:rPr>
        <w:t>stabil</w:t>
      </w:r>
      <w:proofErr w:type="spellEnd"/>
      <w:r w:rsidRPr="0031249E">
        <w:rPr>
          <w:rFonts w:ascii="Cambria" w:hAnsi="Cambria"/>
          <w:bCs/>
          <w:szCs w:val="24"/>
        </w:rPr>
        <w:t>.</w:t>
      </w:r>
    </w:p>
    <w:p w14:paraId="0AD524CE" w14:textId="77777777" w:rsidR="006D4C96" w:rsidRPr="0031249E" w:rsidRDefault="006D4C96" w:rsidP="001B43BA">
      <w:pPr>
        <w:pStyle w:val="ListParagraph"/>
        <w:numPr>
          <w:ilvl w:val="0"/>
          <w:numId w:val="8"/>
        </w:numPr>
        <w:spacing w:line="240" w:lineRule="auto"/>
        <w:ind w:right="-1"/>
        <w:rPr>
          <w:rFonts w:ascii="Cambria" w:hAnsi="Cambria"/>
          <w:bCs/>
          <w:szCs w:val="24"/>
        </w:rPr>
      </w:pPr>
      <w:r w:rsidRPr="0031249E">
        <w:rPr>
          <w:rFonts w:ascii="Cambria" w:hAnsi="Cambria"/>
          <w:bCs/>
          <w:szCs w:val="24"/>
        </w:rPr>
        <w:lastRenderedPageBreak/>
        <w:fldChar w:fldCharType="begin" w:fldLock="1"/>
      </w:r>
      <w:r w:rsidRPr="0031249E">
        <w:rPr>
          <w:rFonts w:ascii="Cambria" w:hAnsi="Cambria"/>
          <w:bCs/>
          <w:szCs w:val="24"/>
        </w:rPr>
        <w:instrText>ADDIN CSL_CITATION {"citationItems":[{"id":"ITEM-1","itemData":{"abstract":"Penelitian ini dilatar belakangi oleh semakin berkembanganya industry keuangan berbasis syariah di Indonesia, khususnya pada reksadana syariah. Reksadana syariah di Indonesia terus mengalami perkembangan yang signifikan di pasar modal. Salah satu ukuran kinerja investasi di Reksa Dana Syariah dilihat dari Nilai Aktiva Bersih (NAB) suatu reksa dana. Kinerja reksa dana tidak terlepas dari berbagai macam faktor internal maupun factor eksternal perusahaan. Dalam penelitian ini peneliti menghubungkan Nilai Aktiva Bersih (NAB) Reksa Dana Syariah di Indonesia dengan Faktor makro ekonomi (Inflasi,Kurs dan BI rate). Tehnik yang digunakan dalam penelitian ini adalah regresi linear berganda, yang berfungsi untuk membuktikan hipotesis penelitian. Data yang telah memnuhi uji normalitas dan ui asumsi klasik diolah denagan penguian regresi linear berganda. Hasil penelitian ini menunjukan (1) Secara parsial terjadi pengaruh positif yang signifikan antara inflasi dengan Nilai Aktiva Bersih (NAB) Reksa dana syariah, (2) Secara parsial Kurs bepengaruh positif dan signifikan terhadap Nilai Aktiva Bersih (NAB) Reksa dana Syariah periode 2010-2016, (3) Secara parsial BI rate bepengaruh negative dan tidak signifikan terhadap Nilai Aktiva Bersih (NAB) Reksa dana Syariah periode 2010-2016. Kemudian melalui uji F dapat di ketahui bahwa Secara simultan ada pengaruh signifikan antara inflasi, kurs dan BI rate terhadap Nilai Aktiva Bersih (NAB) Reksa dana syaria di Indonesia.","author":[{"dropping-particle":"","family":"Nandari","given":"Herlina Utami Dwi Ratna Ayu","non-dropping-particle":"","parse-names":false,"suffix":""}],"container-title":"Jurnal An-nisbah","id":"ITEM-1","issue":"1","issued":{"date-parts":[["2017"]]},"page":"52-73","title":"Pengaruh Inflasi , Kurs Dan Bi Rate Reksadana Syariah Di Indonesia","type":"article-journal","volume":"4"},"uris":["http://www.mendeley.com/documents/?uuid=c36e047f-5204-43a0-ad54-27403bd3881b"]}],"mendeley":{"formattedCitation":"(Nandari, 2017)","manualFormatting":"Nandari (2017)","plainTextFormattedCitation":"(Nandari, 2017)","previouslyFormattedCitation":"(Nandari, 2017)"},"properties":{"noteIndex":0},"schema":"https://github.com/citation-style-language/schema/raw/master/csl-citation.json"}</w:instrText>
      </w:r>
      <w:r w:rsidRPr="0031249E">
        <w:rPr>
          <w:rFonts w:ascii="Cambria" w:hAnsi="Cambria"/>
          <w:bCs/>
          <w:szCs w:val="24"/>
        </w:rPr>
        <w:fldChar w:fldCharType="separate"/>
      </w:r>
      <w:r w:rsidRPr="0031249E">
        <w:rPr>
          <w:rFonts w:ascii="Cambria" w:hAnsi="Cambria"/>
          <w:bCs/>
          <w:noProof/>
          <w:szCs w:val="24"/>
        </w:rPr>
        <w:t>Nandari (2017)</w:t>
      </w:r>
      <w:r w:rsidRPr="0031249E">
        <w:rPr>
          <w:rFonts w:ascii="Cambria" w:hAnsi="Cambria"/>
          <w:bCs/>
          <w:szCs w:val="24"/>
        </w:rPr>
        <w:fldChar w:fldCharType="end"/>
      </w:r>
      <w:r w:rsidRPr="0031249E">
        <w:rPr>
          <w:rFonts w:ascii="Cambria" w:hAnsi="Cambria"/>
          <w:bCs/>
          <w:szCs w:val="24"/>
        </w:rPr>
        <w:t>menghubungkan Nilai Aktiva Bersih (NAB) Reksa Dana Syariah di Indonesia dengan faktor ekonomi makro (Inflasi, Nilai Tukar, dan BI rate). Makalah ini melaporkan bahwa terdapat pengaruh yang signifikan antara inflasi, nilai tukar, dan BI rate terhadap Net Asset Value (NAV) reksa dana syariah di Indonesia.</w:t>
      </w:r>
    </w:p>
    <w:p w14:paraId="2DF1AE41" w14:textId="77777777" w:rsidR="006D4C96" w:rsidRPr="0031249E" w:rsidRDefault="006D4C96" w:rsidP="001B43BA">
      <w:pPr>
        <w:pStyle w:val="ListParagraph"/>
        <w:numPr>
          <w:ilvl w:val="0"/>
          <w:numId w:val="8"/>
        </w:numPr>
        <w:spacing w:line="240" w:lineRule="auto"/>
        <w:ind w:right="-1"/>
        <w:rPr>
          <w:rFonts w:ascii="Cambria" w:hAnsi="Cambria"/>
          <w:bCs/>
          <w:szCs w:val="24"/>
        </w:rPr>
      </w:pPr>
      <w:r w:rsidRPr="0031249E">
        <w:rPr>
          <w:rFonts w:ascii="Cambria" w:hAnsi="Cambria"/>
          <w:bCs/>
          <w:szCs w:val="24"/>
        </w:rPr>
        <w:fldChar w:fldCharType="begin" w:fldLock="1"/>
      </w:r>
      <w:r w:rsidRPr="0031249E">
        <w:rPr>
          <w:rFonts w:ascii="Cambria" w:hAnsi="Cambria"/>
          <w:bCs/>
          <w:szCs w:val="24"/>
        </w:rPr>
        <w:instrText>ADDIN CSL_CITATION {"citationItems":[{"id":"ITEM-1","itemData":{"DOI":"10.15408/aiq.v6i2.1230","abstract":"The Performance Comparation between sharia instrument performance and conventional syariah The main objective of investors in investment activities is to get the profit. Similarly, investors in Islamic investment activities want the same things. But often the performance of sharia instruments deemed lower than conventional instruments, so market share Sharia-compliant investment instruments is still minimal. This research doing comparation performance index and mutual fund index between shariah based and conventional based. Based on the results of research that takes samples Islamic instruments of capital markets such as sharia Islamic stocks and sharia mutual funds, it is concluded that the performance of sharia-based investment instruments are not significantly different from the conventional investment instruments, even during the period of research Islamic investment instruments showed slightly better performance.   DOI: 10.15408/aiq.v6i2.1230","author":[{"dropping-particle":"","family":"Syafrida","given":"Ida","non-dropping-particle":"","parse-names":false,"suffix":""},{"dropping-particle":"","family":"Aminah","given":"Indianik","non-dropping-particle":"","parse-names":false,"suffix":""},{"dropping-particle":"","family":"Waluyo","given":"Bambang","non-dropping-particle":"","parse-names":false,"suffix":""}],"container-title":"Al-Iqtishad Journal of Islamic Economics","id":"ITEM-1","issue":"2","issued":{"date-parts":[["2014","6","10"]]},"page":"195-206","title":"Perbandingan Kinerja Instrumen Investasi Berbasis Syariah dengan Konvensional di Pasar Modal Indonesia","type":"article-journal","volume":"6"},"uris":["http://www.mendeley.com/documents/?uuid=ba28bb7c-7aeb-4d3c-ad06-dce311d7a8d3"]}],"mendeley":{"formattedCitation":"(Syafrida et al., 2014)","manualFormatting":"Syafrida et al. (2014)","plainTextFormattedCitation":"(Syafrida et al., 2014)","previouslyFormattedCitation":"(Syafrida et al., 2014)"},"properties":{"noteIndex":0},"schema":"https://github.com/citation-style-language/schema/raw/master/csl-citation.json"}</w:instrText>
      </w:r>
      <w:r w:rsidRPr="0031249E">
        <w:rPr>
          <w:rFonts w:ascii="Cambria" w:hAnsi="Cambria"/>
          <w:bCs/>
          <w:szCs w:val="24"/>
        </w:rPr>
        <w:fldChar w:fldCharType="separate"/>
      </w:r>
      <w:r w:rsidRPr="0031249E">
        <w:rPr>
          <w:rFonts w:ascii="Cambria" w:hAnsi="Cambria"/>
          <w:bCs/>
          <w:noProof/>
          <w:szCs w:val="24"/>
        </w:rPr>
        <w:t>Syafrida dkk. (2014)</w:t>
      </w:r>
      <w:r w:rsidRPr="0031249E">
        <w:rPr>
          <w:rFonts w:ascii="Cambria" w:hAnsi="Cambria"/>
          <w:bCs/>
          <w:szCs w:val="24"/>
        </w:rPr>
        <w:fldChar w:fldCharType="end"/>
      </w:r>
      <w:r w:rsidRPr="0031249E">
        <w:rPr>
          <w:rFonts w:ascii="Cambria" w:hAnsi="Cambria"/>
          <w:bCs/>
          <w:szCs w:val="24"/>
        </w:rPr>
        <w:t>membandingkan indeks kinerja dan indeks reksa dana antara berbasis syariah dan konvensional. Makalah tersebut melaporkan bahwa kinerja instrumen investasi syariah tidak jauh berbeda dengan instrumen investasi konvensional, bahkan selama periode penelitian instrumen investasi syariah menunjukkan kinerja yang sedikit lebih baik.</w:t>
      </w:r>
    </w:p>
    <w:p w14:paraId="2BB6CF07" w14:textId="77777777" w:rsidR="006D4C96" w:rsidRPr="0031249E" w:rsidRDefault="006D4C96" w:rsidP="001B43BA">
      <w:pPr>
        <w:pStyle w:val="ListParagraph"/>
        <w:numPr>
          <w:ilvl w:val="0"/>
          <w:numId w:val="8"/>
        </w:numPr>
        <w:spacing w:line="240" w:lineRule="auto"/>
        <w:ind w:right="-1"/>
        <w:rPr>
          <w:rFonts w:ascii="Cambria" w:hAnsi="Cambria"/>
          <w:bCs/>
          <w:szCs w:val="24"/>
        </w:rPr>
      </w:pPr>
      <w:r w:rsidRPr="0031249E">
        <w:rPr>
          <w:rFonts w:ascii="Cambria" w:hAnsi="Cambria"/>
          <w:bCs/>
          <w:szCs w:val="24"/>
        </w:rPr>
        <w:fldChar w:fldCharType="begin" w:fldLock="1"/>
      </w:r>
      <w:r w:rsidRPr="0031249E">
        <w:rPr>
          <w:rFonts w:ascii="Cambria" w:hAnsi="Cambria"/>
          <w:bCs/>
          <w:szCs w:val="24"/>
        </w:rPr>
        <w:instrText>ADDIN CSL_CITATION {"citationItems":[{"id":"ITEM-1","itemData":{"DOI":"10.17509/jrak.v4i2.4043","ISSN":"2338-1507","abstract":"Penelitian ini bertujuan untuk mengetahui kinerja Reksadana Syariah di Indonesia khususnya Reksadana jenis saham dengan periode penelitian 2010- 2014. Metode pengukuran kinerja yang digunakan adalah Sharpe Ratio. Data yang digunakan dalam penelitian ini adalah data sekunder dengan sampel 6 Reksadana Saham Syariah dengan teknik pengambilan sampel menggunakan purposive sampling. Tehnik analisis yang digunakan dalam penelitian ini adalah teknik deskriptif dengan pendekatan kuantitatif. Hasil penelitian menunjukkan bahwa Reksadana Cipta Syariah Equity merupakan Reksadana Saham Syariah yang memiliki kinerja terbaik dibandingkan dengan Reksadana Saham Syariah lainnya","author":[{"dropping-particle":"","family":"Waridah","given":"Winda","non-dropping-particle":"","parse-names":false,"suffix":""},{"dropping-particle":"","family":"Mediawati","given":"Elis","non-dropping-particle":"","parse-names":false,"suffix":""}],"container-title":"Jurnal Riset Akuntansi dan Keuangan","id":"ITEM-1","issue":"2","issued":{"date-parts":[["2016"]]},"page":"1077-1086","title":"Analisis Kinerja Reksadana Syariah","type":"article-journal","volume":"4"},"uris":["http://www.mendeley.com/documents/?uuid=9e6ac088-099a-495e-8681-827f7ebc43c5"]}],"mendeley":{"formattedCitation":"(Waridah &amp; Mediawati, 2016)","manualFormatting":"Waridah &amp; Mediawati (2016)","plainTextFormattedCitation":"(Waridah &amp; Mediawati, 2016)","previouslyFormattedCitation":"(Waridah &amp; Mediawati, 2016)"},"properties":{"noteIndex":0},"schema":"https://github.com/citation-style-language/schema/raw/master/csl-citation.json"}</w:instrText>
      </w:r>
      <w:r w:rsidRPr="0031249E">
        <w:rPr>
          <w:rFonts w:ascii="Cambria" w:hAnsi="Cambria"/>
          <w:bCs/>
          <w:szCs w:val="24"/>
        </w:rPr>
        <w:fldChar w:fldCharType="separate"/>
      </w:r>
      <w:r w:rsidRPr="0031249E">
        <w:rPr>
          <w:rFonts w:ascii="Cambria" w:hAnsi="Cambria"/>
          <w:bCs/>
          <w:noProof/>
          <w:szCs w:val="24"/>
        </w:rPr>
        <w:t>Waridah &amp; Mediawati (2016)</w:t>
      </w:r>
      <w:r w:rsidRPr="0031249E">
        <w:rPr>
          <w:rFonts w:ascii="Cambria" w:hAnsi="Cambria"/>
          <w:bCs/>
          <w:szCs w:val="24"/>
        </w:rPr>
        <w:fldChar w:fldCharType="end"/>
      </w:r>
      <w:r w:rsidRPr="0031249E">
        <w:rPr>
          <w:rFonts w:ascii="Cambria" w:hAnsi="Cambria"/>
          <w:bCs/>
          <w:szCs w:val="24"/>
        </w:rPr>
        <w:t>mengetahui kinerja Reksa Dana Syariah di Indonesia khususnya jenis reksa dana saham selama periode penelitian dari tahun 2010 sampai dengan tahun 2014. Hasil penelitian melaporkan bahwa Reksadana Cipta Syariah Equity merupakan Reksa Dana Syariah yang memiliki kinerja terbaik dibandingkan dengan reksa dana berbasis saham lainnya. Reksa Dana Syariah.</w:t>
      </w:r>
    </w:p>
    <w:p w14:paraId="1F310A19" w14:textId="77777777" w:rsidR="006D4C96" w:rsidRPr="0031249E" w:rsidRDefault="006D4C96" w:rsidP="001B43BA">
      <w:pPr>
        <w:pStyle w:val="ListParagraph"/>
        <w:numPr>
          <w:ilvl w:val="0"/>
          <w:numId w:val="8"/>
        </w:numPr>
        <w:spacing w:line="240" w:lineRule="auto"/>
        <w:ind w:right="-1"/>
        <w:rPr>
          <w:rFonts w:ascii="Cambria" w:hAnsi="Cambria"/>
          <w:bCs/>
          <w:szCs w:val="24"/>
        </w:rPr>
      </w:pPr>
      <w:r w:rsidRPr="0031249E">
        <w:rPr>
          <w:rFonts w:ascii="Cambria" w:hAnsi="Cambria"/>
          <w:bCs/>
          <w:szCs w:val="24"/>
        </w:rPr>
        <w:fldChar w:fldCharType="begin" w:fldLock="1"/>
      </w:r>
      <w:r w:rsidRPr="0031249E">
        <w:rPr>
          <w:rFonts w:ascii="Cambria" w:hAnsi="Cambria"/>
          <w:bCs/>
          <w:szCs w:val="24"/>
        </w:rPr>
        <w:instrText>ADDIN CSL_CITATION {"citationItems":[{"id":"ITEM-1","itemData":{"DOI":"10.17509/jrak.v4i2.4034","ISSN":"2338-1507","abstract":"Penelitian ini menguji dan menganalisis pengaruh asset growth, debt to equity ratio, return on equity, total asset turnover dan earning per share  terhadap beta saham.Saham yang diteliti adalah saham- saham yang masuk dalam kelompok Jakarta Islamic Index (JII) secara konsisten selama tahun 2013 sampai 2015. Variabel yang digunakan adalah variabel fundamental  yang terdiri dari asset growth (AG), debt to equity ratio (DER), return on equity (ROE), total asset turnover (TATO), dan earning per share (EPS). Data penelitian ini adalah data sekunder dari Indonesian Capital Market Directory (ICMD) dan Pusat Data Pasar Modal di Fakultas Ekonomi Universitas Islam Indonesia serta laporan keuangan tahunan perusahaan yang masuk dalam kelompok JII selama tahun 2013-2015 serta diolah dengan model regresi linear berganda menggunakan program SPSS.Hasil penelitian menyimpulkan bahwa variabel yang berpengaruh signifikan terhadap beta saham adalah asset growth dengan sig. t sebesar 0.007&lt;0.05. Sedangkan variabel yang tidak berpengaruh signifikan terhadap beta saham adalah DER dengan sig.t sebesar 0.430&gt;0.05, ROE  dengan sig. t sebesar 0.050&gt;0.05,  TATO dengan sig.t sebesar 0.759&gt;0.05, EPS dengan sig. t sebesar 0.424. Sedangkan sig. F sebesar  0.040&lt;0.05, sehingga dapat disimpulkan bahwa kelima variabel secara simultan  berpengaruh positif dan signifikan terhadap beta saham. Kelima variabel tersebut berpengaruh terhadap beta saham sebesar 20% dan sisanya sebesar 80% dijelaskan oleh variabel lain di luar model dan faktor fundamental lainnya","author":[{"dropping-particle":"","family":"Lila Kusuma","given":"Indra","non-dropping-particle":"","parse-names":false,"suffix":""}],"container-title":"Jurnal Riset Akuntansi dan Keuangan","id":"ITEM-1","issue":"2","issued":{"date-parts":[["2016"]]},"page":"1005-1020","title":"Pengaruh Asset Growth, Debt To Equity Ratio, Return on Equity, Total Asset Turnover Dan Earning Per Share Terhadap Beta Saham Pada Perusahaan Yang Masuk Dalam Kelompok Jakarta Islamic Index (Jii) Periode 2013-2015","type":"article-journal","volume":"4"},"uris":["http://www.mendeley.com/documents/?uuid=93fee761-180b-42c2-963b-f11a9e150142"]}],"mendeley":{"formattedCitation":"(Lila Kusuma, 2016)","manualFormatting":"Kusuma (2016)","plainTextFormattedCitation":"(Lila Kusuma, 2016)","previouslyFormattedCitation":"(Lila Kusuma, 2016)"},"properties":{"noteIndex":0},"schema":"https://github.com/citation-style-language/schema/raw/master/csl-citation.json"}</w:instrText>
      </w:r>
      <w:r w:rsidRPr="0031249E">
        <w:rPr>
          <w:rFonts w:ascii="Cambria" w:hAnsi="Cambria"/>
          <w:bCs/>
          <w:szCs w:val="24"/>
        </w:rPr>
        <w:fldChar w:fldCharType="separate"/>
      </w:r>
      <w:r w:rsidRPr="0031249E">
        <w:rPr>
          <w:rFonts w:ascii="Cambria" w:hAnsi="Cambria"/>
          <w:bCs/>
          <w:noProof/>
          <w:szCs w:val="24"/>
        </w:rPr>
        <w:t>Kusuma (2016)</w:t>
      </w:r>
      <w:r w:rsidRPr="0031249E">
        <w:rPr>
          <w:rFonts w:ascii="Cambria" w:hAnsi="Cambria"/>
          <w:bCs/>
          <w:szCs w:val="24"/>
        </w:rPr>
        <w:fldChar w:fldCharType="end"/>
      </w:r>
      <w:r w:rsidRPr="0031249E">
        <w:rPr>
          <w:rFonts w:ascii="Cambria" w:hAnsi="Cambria"/>
          <w:bCs/>
          <w:szCs w:val="24"/>
        </w:rPr>
        <w:t>meneliti pengaruh pertumbuhan aset, rasio utang terhadap ekuitas, pengembalian ekuitas, perputaran total aset, dan laba per saham terhadap beta saham. Penelitian ini menyarankan bagi investor yang ingin berinvestasi pada perusahaan yang sahamnya masuk dalam Jakarta Islamic Index, dapat mempertimbangkan variabel pertumbuhan aset perusahaan untuk menghilangkan pengaruh risiko pasar.</w:t>
      </w:r>
    </w:p>
    <w:p w14:paraId="375D30A8" w14:textId="77777777" w:rsidR="006D4C96" w:rsidRPr="0031249E" w:rsidRDefault="006D4C96" w:rsidP="001B43BA">
      <w:pPr>
        <w:pStyle w:val="ListParagraph"/>
        <w:numPr>
          <w:ilvl w:val="0"/>
          <w:numId w:val="8"/>
        </w:numPr>
        <w:spacing w:line="240" w:lineRule="auto"/>
        <w:ind w:right="-1"/>
        <w:rPr>
          <w:rFonts w:ascii="Cambria" w:hAnsi="Cambria"/>
          <w:bCs/>
          <w:szCs w:val="24"/>
        </w:rPr>
      </w:pPr>
      <w:r w:rsidRPr="0031249E">
        <w:rPr>
          <w:rFonts w:ascii="Cambria" w:hAnsi="Cambria"/>
          <w:bCs/>
          <w:szCs w:val="24"/>
        </w:rPr>
        <w:fldChar w:fldCharType="begin" w:fldLock="1"/>
      </w:r>
      <w:r w:rsidRPr="0031249E">
        <w:rPr>
          <w:rFonts w:ascii="Cambria" w:hAnsi="Cambria"/>
          <w:bCs/>
          <w:szCs w:val="24"/>
        </w:rPr>
        <w:instrText>ADDIN CSL_CITATION {"citationItems":[{"id":"ITEM-1","itemData":{"DOI":"10.18326/ijtihad.v16i2.217-236","ISSN":"1411-9544","abstract":"The purpose of this study was to determine the effect of the characteristics on the performance ofIslamic mutual funds in Indonesia. By analyzing data from 27 Islamic mutual funds traded on theIndonesia Stock Exchange during the 48 months (January 2010-December 2013), and using panel dataas a technical analysis, the study came to the conclusion that the characteristics of Islamic mutual funds,represented by the turnover ratio, expenses ratio, fund size, fund age, and fund selection influence theperformance of Islamic mutual funds in Indonesia. Turnover ratio, fund size, fund age, and fundselection have positive effect to the performance of Islamic mutual fund.","author":[{"dropping-particle":"","family":"Mulyawan","given":"Setia","non-dropping-particle":"","parse-names":false,"suffix":""}],"container-title":"IJTIHAD Jurnal Wacana Hukum Islam dan Kemanusiaan","id":"ITEM-1","issue":"2","issued":{"date-parts":[["2017"]]},"page":"217","title":"Kinerja reksa dana syariah dan beberapa faktor yang memengaruhinya: studi di pasar modal Indonesia 2010-2013","type":"article-journal","volume":"16"},"uris":["http://www.mendeley.com/documents/?uuid=057bec11-1652-4075-aa75-c95be29743a0"]}],"mendeley":{"formattedCitation":"(Mulyawan, 2017)","manualFormatting":"Mulyawan (2017)","plainTextFormattedCitation":"(Mulyawan, 2017)","previouslyFormattedCitation":"(Mulyawan, 2017)"},"properties":{"noteIndex":0},"schema":"https://github.com/citation-style-language/schema/raw/master/csl-citation.json"}</w:instrText>
      </w:r>
      <w:r w:rsidRPr="0031249E">
        <w:rPr>
          <w:rFonts w:ascii="Cambria" w:hAnsi="Cambria"/>
          <w:bCs/>
          <w:szCs w:val="24"/>
        </w:rPr>
        <w:fldChar w:fldCharType="separate"/>
      </w:r>
      <w:r w:rsidRPr="0031249E">
        <w:rPr>
          <w:rFonts w:ascii="Cambria" w:hAnsi="Cambria"/>
          <w:bCs/>
          <w:noProof/>
          <w:szCs w:val="24"/>
        </w:rPr>
        <w:t>Mulyawan (2017)</w:t>
      </w:r>
      <w:r w:rsidRPr="0031249E">
        <w:rPr>
          <w:rFonts w:ascii="Cambria" w:hAnsi="Cambria"/>
          <w:bCs/>
          <w:szCs w:val="24"/>
        </w:rPr>
        <w:fldChar w:fldCharType="end"/>
      </w:r>
      <w:r w:rsidRPr="0031249E">
        <w:rPr>
          <w:rFonts w:ascii="Cambria" w:hAnsi="Cambria"/>
          <w:bCs/>
          <w:szCs w:val="24"/>
        </w:rPr>
        <w:t>mengeksplorasi pengaruh karakteristik terhadap kinerja reksa dana syariah di Indonesia. Hasil penelitian melaporkan bahwa rasio perputaran, ukuran dana, umur dana, pemilihan dana berpengaruh positif terhadap kinerja reksa dana syariah.</w:t>
      </w:r>
    </w:p>
    <w:p w14:paraId="0D207321" w14:textId="77777777" w:rsidR="006D4C96" w:rsidRPr="0031249E" w:rsidRDefault="006D4C96" w:rsidP="001B43BA">
      <w:pPr>
        <w:pStyle w:val="ListParagraph"/>
        <w:numPr>
          <w:ilvl w:val="0"/>
          <w:numId w:val="8"/>
        </w:numPr>
        <w:spacing w:line="240" w:lineRule="auto"/>
        <w:ind w:right="-1"/>
        <w:rPr>
          <w:rFonts w:ascii="Cambria" w:hAnsi="Cambria"/>
          <w:bCs/>
          <w:szCs w:val="24"/>
        </w:rPr>
      </w:pPr>
      <w:r w:rsidRPr="0031249E">
        <w:rPr>
          <w:rFonts w:ascii="Cambria" w:hAnsi="Cambria"/>
          <w:bCs/>
          <w:szCs w:val="24"/>
        </w:rPr>
        <w:fldChar w:fldCharType="begin" w:fldLock="1"/>
      </w:r>
      <w:r w:rsidRPr="0031249E">
        <w:rPr>
          <w:rFonts w:ascii="Cambria" w:hAnsi="Cambria"/>
          <w:bCs/>
          <w:szCs w:val="24"/>
        </w:rPr>
        <w:instrText>ADDIN CSL_CITATION {"citationItems":[{"id":"ITEM-1","itemData":{"DOI":"10.15408/akt.v11i2.8794","abstract":"This study aims to compare the performance of conventional stock mutual funds and Islamic stock mutual funds with the Sharpe Index method, Treynor Index, and Jensen Index. This study aims to determine whether there are differences in performance between conventional mutual funds and Islamic mutual funds. The population in this study is mutual funds managed by Investment Managers who manage both subcategories of conventional and sharia mutual fund types of shares. This type of research is comparative research. The data used are secondary data obtained from published reports by the Financial Services Authority (OJK). The results of the study using Sharpe, Treynor and Jensen methods show that the performance of conventional and Islamic equity funds has a performance above risk-free investment performance. With these three results, the performance of conventional and Islamic stock mutual funds does not have a significant difference.","author":[{"dropping-particle":"","family":"Zamzany","given":"Faizal Ridwan","non-dropping-particle":"","parse-names":false,"suffix":""},{"dropping-particle":"","family":"Setiawan","given":"Edi","non-dropping-particle":"","parse-names":false,"suffix":""}],"container-title":"Akuntabilitas","id":"ITEM-1","issue":"2","issued":{"date-parts":[["2018","6","10"]]},"page":"305-318","title":"Studi Komparatif Kinerja Reksadana Saham Konvensional dan Syariah Di Indonesia","type":"article-journal","volume":"11"},"uris":["http://www.mendeley.com/documents/?uuid=64d2078d-5c42-4d65-9d2f-4e2db3b5e916"]}],"mendeley":{"formattedCitation":"(Zamzany &amp; Setiawan, 2018)","manualFormatting":"Zamzany &amp; Setiawan (2018)","plainTextFormattedCitation":"(Zamzany &amp; Setiawan, 2018)","previouslyFormattedCitation":"(Zamzany &amp; Setiawan, 2018)"},"properties":{"noteIndex":0},"schema":"https://github.com/citation-style-language/schema/raw/master/csl-citation.json"}</w:instrText>
      </w:r>
      <w:r w:rsidRPr="0031249E">
        <w:rPr>
          <w:rFonts w:ascii="Cambria" w:hAnsi="Cambria"/>
          <w:bCs/>
          <w:szCs w:val="24"/>
        </w:rPr>
        <w:fldChar w:fldCharType="separate"/>
      </w:r>
      <w:r w:rsidRPr="0031249E">
        <w:rPr>
          <w:rFonts w:ascii="Cambria" w:hAnsi="Cambria"/>
          <w:bCs/>
          <w:noProof/>
          <w:szCs w:val="24"/>
        </w:rPr>
        <w:t>Zamzany &amp; Setiawan (2018)</w:t>
      </w:r>
      <w:r w:rsidRPr="0031249E">
        <w:rPr>
          <w:rFonts w:ascii="Cambria" w:hAnsi="Cambria"/>
          <w:bCs/>
          <w:szCs w:val="24"/>
        </w:rPr>
        <w:fldChar w:fldCharType="end"/>
      </w:r>
      <w:r w:rsidRPr="0031249E">
        <w:rPr>
          <w:rFonts w:ascii="Cambria" w:hAnsi="Cambria"/>
          <w:bCs/>
          <w:szCs w:val="24"/>
        </w:rPr>
        <w:t>mengetahui pengaruh karakteristik terhadap kinerja reksa dana syariah di Indonesia. Laporan studi yang menggunakan metode Sharpe, Treynor, dan Jensen menunjukkan bahwa kinerja reksa dana saham konvensional dan syariah memiliki kinerja di atas kinerja investasi bebas risiko.</w:t>
      </w:r>
    </w:p>
    <w:p w14:paraId="30ED6127" w14:textId="77777777" w:rsidR="006D4C96" w:rsidRPr="0031249E" w:rsidRDefault="006D4C96" w:rsidP="001B43BA">
      <w:pPr>
        <w:pStyle w:val="ListParagraph"/>
        <w:numPr>
          <w:ilvl w:val="0"/>
          <w:numId w:val="8"/>
        </w:numPr>
        <w:spacing w:line="240" w:lineRule="auto"/>
        <w:ind w:right="-1"/>
        <w:rPr>
          <w:rFonts w:ascii="Cambria" w:hAnsi="Cambria"/>
          <w:bCs/>
          <w:szCs w:val="24"/>
        </w:rPr>
      </w:pPr>
      <w:r w:rsidRPr="0031249E">
        <w:rPr>
          <w:rFonts w:ascii="Cambria" w:hAnsi="Cambria"/>
          <w:bCs/>
          <w:szCs w:val="24"/>
        </w:rPr>
        <w:fldChar w:fldCharType="begin" w:fldLock="1"/>
      </w:r>
      <w:r w:rsidRPr="0031249E">
        <w:rPr>
          <w:rFonts w:ascii="Cambria" w:hAnsi="Cambria"/>
          <w:bCs/>
          <w:szCs w:val="24"/>
        </w:rPr>
        <w:instrText>ADDIN CSL_CITATION {"citationItems":[{"id":"ITEM-1","itemData":{"author":[{"dropping-particle":"","family":"Medias","given":"Fahmi","non-dropping-particle":"","parse-names":false,"suffix":""}],"container-title":"Indonesian Journal of Islamic Literature and Muslim Society","id":"ITEM-1","issue":"1","issued":{"date-parts":[["2017"]]},"page":"61-84","title":"Bank wakaf: Solusi Pemberdayaan Sosial Ekonomi Indonesia","type":"article-journal","volume":"2"},"uris":["http://www.mendeley.com/documents/?uuid=64c03d0e-f8ef-465b-9292-412df20634fd"]}],"mendeley":{"formattedCitation":"(Medias, 2017)","manualFormatting":"Medias (2017)","plainTextFormattedCitation":"(Medias, 2017)","previouslyFormattedCitation":"(Medias, 2017)"},"properties":{"noteIndex":0},"schema":"https://github.com/citation-style-language/schema/raw/master/csl-citation.json"}</w:instrText>
      </w:r>
      <w:r w:rsidRPr="0031249E">
        <w:rPr>
          <w:rFonts w:ascii="Cambria" w:hAnsi="Cambria"/>
          <w:bCs/>
          <w:szCs w:val="24"/>
        </w:rPr>
        <w:fldChar w:fldCharType="separate"/>
      </w:r>
      <w:r w:rsidRPr="0031249E">
        <w:rPr>
          <w:rFonts w:ascii="Cambria" w:hAnsi="Cambria"/>
          <w:bCs/>
          <w:noProof/>
          <w:szCs w:val="24"/>
        </w:rPr>
        <w:t>Media (2017)</w:t>
      </w:r>
      <w:r w:rsidRPr="0031249E">
        <w:rPr>
          <w:rFonts w:ascii="Cambria" w:hAnsi="Cambria"/>
          <w:bCs/>
          <w:szCs w:val="24"/>
        </w:rPr>
        <w:fldChar w:fldCharType="end"/>
      </w:r>
      <w:r w:rsidRPr="0031249E">
        <w:rPr>
          <w:rFonts w:ascii="Cambria" w:hAnsi="Cambria"/>
          <w:bCs/>
          <w:szCs w:val="24"/>
        </w:rPr>
        <w:t>mengidentifikasi peran strategis wakaf tunai sebagai instrumen keuangan alternatif dalam pembangunan ekonomi Indonesia di bidang sosial, keagamaan, pendidikan, dan kesehatan, serta mengidentifikasi masalah yang dihadapi oleh lembaga sosial yang sudah ada di Indonesia dalam pengelolaan wakaf tunai. Kajian ini melaporkan bahwa pentingnya penggalangan dana wakaf dari masyarakat melalui pendirian bank wakaf di Indonesia untuk memperluas potensi wakaf uang dalam meningkatkan kesejahteraan sosial dan ekonomi masyarakat Indonesia.</w:t>
      </w:r>
    </w:p>
    <w:p w14:paraId="1DB4D66F" w14:textId="77777777" w:rsidR="00536EAE" w:rsidRPr="0031249E" w:rsidRDefault="00536EAE" w:rsidP="001B43BA">
      <w:pPr>
        <w:spacing w:line="240" w:lineRule="auto"/>
        <w:ind w:right="-1"/>
        <w:rPr>
          <w:rFonts w:ascii="Cambria" w:hAnsi="Cambria"/>
          <w:bCs/>
          <w:szCs w:val="24"/>
        </w:rPr>
      </w:pPr>
    </w:p>
    <w:p w14:paraId="3D931BD1" w14:textId="77777777" w:rsidR="006D4C96" w:rsidRPr="0031249E" w:rsidRDefault="006D4C96" w:rsidP="001B43BA">
      <w:pPr>
        <w:tabs>
          <w:tab w:val="right" w:pos="4393"/>
        </w:tabs>
        <w:spacing w:line="240" w:lineRule="auto"/>
        <w:ind w:left="360"/>
        <w:rPr>
          <w:rFonts w:ascii="Cambria" w:hAnsi="Cambria"/>
          <w:b/>
          <w:szCs w:val="24"/>
        </w:rPr>
      </w:pPr>
      <w:r w:rsidRPr="0031249E">
        <w:rPr>
          <w:rFonts w:ascii="Cambria" w:hAnsi="Cambria"/>
          <w:b/>
          <w:szCs w:val="24"/>
        </w:rPr>
        <w:lastRenderedPageBreak/>
        <w:t>Gambar 7.</w:t>
      </w:r>
    </w:p>
    <w:p w14:paraId="4F9F034E" w14:textId="77777777" w:rsidR="006D4C96" w:rsidRPr="0031249E" w:rsidRDefault="006D4C96" w:rsidP="001B43BA">
      <w:pPr>
        <w:tabs>
          <w:tab w:val="right" w:pos="4393"/>
        </w:tabs>
        <w:spacing w:line="240" w:lineRule="auto"/>
        <w:ind w:left="360"/>
        <w:rPr>
          <w:rFonts w:ascii="Cambria" w:hAnsi="Cambria"/>
          <w:bCs/>
          <w:i/>
          <w:iCs/>
          <w:szCs w:val="24"/>
        </w:rPr>
      </w:pPr>
      <w:r w:rsidRPr="0031249E">
        <w:rPr>
          <w:rFonts w:ascii="Cambria" w:hAnsi="Cambria"/>
          <w:bCs/>
          <w:i/>
          <w:iCs/>
          <w:szCs w:val="24"/>
        </w:rPr>
        <w:t>Sepuluh Dokumen Paling Banyak Dikutip</w:t>
      </w:r>
    </w:p>
    <w:p w14:paraId="224EB422" w14:textId="77777777" w:rsidR="006D4C96" w:rsidRPr="0031249E" w:rsidRDefault="006D4C96" w:rsidP="001B43BA">
      <w:pPr>
        <w:spacing w:line="240" w:lineRule="auto"/>
        <w:ind w:right="-1"/>
        <w:rPr>
          <w:rFonts w:ascii="Cambria" w:hAnsi="Cambria"/>
          <w:bCs/>
          <w:szCs w:val="24"/>
        </w:rPr>
      </w:pPr>
      <w:r w:rsidRPr="0031249E">
        <w:rPr>
          <w:rFonts w:ascii="Cambria" w:hAnsi="Cambria"/>
          <w:noProof/>
          <w:szCs w:val="24"/>
        </w:rPr>
        <w:drawing>
          <wp:inline distT="0" distB="0" distL="0" distR="0" wp14:anchorId="30B262D6" wp14:editId="46868BF3">
            <wp:extent cx="3204845" cy="20123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04845" cy="2012315"/>
                    </a:xfrm>
                    <a:prstGeom prst="rect">
                      <a:avLst/>
                    </a:prstGeom>
                  </pic:spPr>
                </pic:pic>
              </a:graphicData>
            </a:graphic>
          </wp:inline>
        </w:drawing>
      </w:r>
    </w:p>
    <w:p w14:paraId="40614C4D" w14:textId="77777777" w:rsidR="006D4C96" w:rsidRPr="0031249E" w:rsidRDefault="006D4C96" w:rsidP="001B43BA">
      <w:pPr>
        <w:tabs>
          <w:tab w:val="right" w:pos="4393"/>
        </w:tabs>
        <w:spacing w:line="240" w:lineRule="auto"/>
        <w:ind w:left="360"/>
        <w:rPr>
          <w:rFonts w:ascii="Cambria" w:hAnsi="Cambria"/>
          <w:b/>
          <w:szCs w:val="24"/>
        </w:rPr>
      </w:pPr>
      <w:r w:rsidRPr="0031249E">
        <w:rPr>
          <w:rFonts w:ascii="Cambria" w:hAnsi="Cambria"/>
          <w:b/>
          <w:szCs w:val="24"/>
        </w:rPr>
        <w:t>Agenda Penelitian Masa Depan</w:t>
      </w:r>
    </w:p>
    <w:p w14:paraId="6FB8F88B" w14:textId="77777777" w:rsidR="006D4C96" w:rsidRPr="0031249E" w:rsidRDefault="006D4C96" w:rsidP="001B43BA">
      <w:pPr>
        <w:spacing w:line="240" w:lineRule="auto"/>
        <w:ind w:right="-1"/>
        <w:rPr>
          <w:rFonts w:ascii="Cambria" w:hAnsi="Cambria"/>
          <w:szCs w:val="24"/>
        </w:rPr>
      </w:pPr>
      <w:r w:rsidRPr="0031249E">
        <w:rPr>
          <w:rFonts w:ascii="Cambria" w:hAnsi="Cambria"/>
          <w:szCs w:val="24"/>
        </w:rPr>
        <w:t>Gambar 8 menggambarkan peta tematik yang diperoleh berdasarkan kepadatan dan sentralitas. Peta tematik terdiri dari tema dasar, tema motor, tema niche, dan tema menurun.</w:t>
      </w:r>
    </w:p>
    <w:p w14:paraId="2623CCC8" w14:textId="77777777" w:rsidR="006D4C96" w:rsidRPr="0031249E" w:rsidRDefault="006D4C96" w:rsidP="001B43BA">
      <w:pPr>
        <w:spacing w:line="240" w:lineRule="auto"/>
        <w:ind w:right="-1"/>
        <w:rPr>
          <w:rFonts w:ascii="Cambria" w:hAnsi="Cambria"/>
          <w:szCs w:val="24"/>
        </w:rPr>
      </w:pPr>
      <w:r w:rsidRPr="0031249E">
        <w:rPr>
          <w:rFonts w:ascii="Cambria" w:hAnsi="Cambria"/>
          <w:szCs w:val="24"/>
        </w:rPr>
        <w:t>Tema motor mewakili topik berkendara yang ditunjukkan dengan nilai kepadatan dan intensitas tinggi. Topiknya terdiri dari 3 bagian utama: “ekuitas, kurs, dan BI”. Topik-topik ini masih perlu dikembangkan, mengingat pentingnya penelitian di masa depan. Kuadran berikutnya adalah tema niche yang menunjukkan topik spesifik dan kurang terwakili yang tetap menjadi area yang berkembang pesat. Daerah ini menawarkan kepadatan tinggi tetapi sentralitas rendah. Topiknya terdiri dari "investor". Area tema dasar berisi topik-topik penting yang ditunjukkan dengan sentralitas tinggi tetapi kepadatan rendah. Topik ini penting untuk diteliti sebagai topik umum, termasuk topik “syariah, dan reksa dana”. Area kiri bawah menunjukkan topik yang telah mengalami tren penurunan yang ditunjukkan oleh sentralitas dan kepadatan yang rendah.</w:t>
      </w:r>
    </w:p>
    <w:p w14:paraId="4673D7DE" w14:textId="77777777" w:rsidR="006D4C96" w:rsidRPr="0031249E" w:rsidRDefault="006D4C96" w:rsidP="001B43BA">
      <w:pPr>
        <w:spacing w:line="240" w:lineRule="auto"/>
        <w:ind w:right="-1"/>
        <w:rPr>
          <w:rFonts w:ascii="Cambria" w:hAnsi="Cambria"/>
          <w:szCs w:val="24"/>
        </w:rPr>
      </w:pPr>
    </w:p>
    <w:p w14:paraId="652D36DD" w14:textId="77777777" w:rsidR="006D4C96" w:rsidRPr="0031249E" w:rsidRDefault="006D4C96" w:rsidP="001B43BA">
      <w:pPr>
        <w:tabs>
          <w:tab w:val="right" w:pos="4393"/>
        </w:tabs>
        <w:spacing w:line="240" w:lineRule="auto"/>
        <w:ind w:left="360"/>
        <w:rPr>
          <w:rFonts w:ascii="Cambria" w:hAnsi="Cambria"/>
          <w:b/>
          <w:bCs/>
          <w:szCs w:val="24"/>
        </w:rPr>
      </w:pPr>
      <w:r w:rsidRPr="0031249E">
        <w:rPr>
          <w:rFonts w:ascii="Cambria" w:hAnsi="Cambria"/>
          <w:b/>
          <w:bCs/>
          <w:szCs w:val="24"/>
        </w:rPr>
        <w:t>Angka 8.</w:t>
      </w:r>
    </w:p>
    <w:p w14:paraId="129EA69D" w14:textId="77777777" w:rsidR="006D4C96" w:rsidRPr="0031249E" w:rsidRDefault="006D4C96" w:rsidP="001B43BA">
      <w:pPr>
        <w:tabs>
          <w:tab w:val="right" w:pos="4393"/>
        </w:tabs>
        <w:spacing w:line="240" w:lineRule="auto"/>
        <w:ind w:left="360"/>
        <w:rPr>
          <w:rFonts w:ascii="Cambria" w:hAnsi="Cambria"/>
          <w:i/>
          <w:iCs/>
          <w:szCs w:val="24"/>
        </w:rPr>
      </w:pPr>
      <w:r w:rsidRPr="0031249E">
        <w:rPr>
          <w:rFonts w:ascii="Cambria" w:hAnsi="Cambria"/>
          <w:i/>
          <w:iCs/>
          <w:szCs w:val="24"/>
        </w:rPr>
        <w:t>Peta Tematik</w:t>
      </w:r>
    </w:p>
    <w:p w14:paraId="6B6A7ED8" w14:textId="77777777" w:rsidR="006D4C96" w:rsidRPr="0031249E" w:rsidRDefault="006D4C96" w:rsidP="001B43BA">
      <w:pPr>
        <w:spacing w:line="240" w:lineRule="auto"/>
        <w:ind w:right="-1"/>
        <w:rPr>
          <w:rFonts w:ascii="Cambria" w:hAnsi="Cambria"/>
          <w:bCs/>
          <w:szCs w:val="24"/>
        </w:rPr>
      </w:pPr>
      <w:r w:rsidRPr="0031249E">
        <w:rPr>
          <w:rFonts w:ascii="Cambria" w:hAnsi="Cambria"/>
          <w:noProof/>
          <w:szCs w:val="24"/>
        </w:rPr>
        <w:drawing>
          <wp:inline distT="0" distB="0" distL="0" distR="0" wp14:anchorId="32B3CBCF" wp14:editId="369E9892">
            <wp:extent cx="3204845" cy="20123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04845" cy="2012315"/>
                    </a:xfrm>
                    <a:prstGeom prst="rect">
                      <a:avLst/>
                    </a:prstGeom>
                  </pic:spPr>
                </pic:pic>
              </a:graphicData>
            </a:graphic>
          </wp:inline>
        </w:drawing>
      </w:r>
    </w:p>
    <w:p w14:paraId="6F910BF1" w14:textId="77777777" w:rsidR="006D4C96" w:rsidRPr="0031249E" w:rsidRDefault="006D4C96" w:rsidP="001B43BA">
      <w:pPr>
        <w:spacing w:line="240" w:lineRule="auto"/>
        <w:ind w:right="-1"/>
        <w:rPr>
          <w:rFonts w:ascii="Cambria" w:hAnsi="Cambria"/>
          <w:bCs/>
          <w:szCs w:val="24"/>
        </w:rPr>
      </w:pPr>
    </w:p>
    <w:p w14:paraId="2A8416E9" w14:textId="77777777" w:rsidR="006D4C96" w:rsidRPr="0031249E" w:rsidRDefault="006D4C96" w:rsidP="001B43BA">
      <w:pPr>
        <w:tabs>
          <w:tab w:val="right" w:pos="4393"/>
        </w:tabs>
        <w:spacing w:line="240" w:lineRule="auto"/>
        <w:ind w:left="360"/>
        <w:rPr>
          <w:rFonts w:ascii="Cambria" w:hAnsi="Cambria"/>
          <w:szCs w:val="24"/>
        </w:rPr>
      </w:pPr>
      <w:r w:rsidRPr="0031249E">
        <w:rPr>
          <w:rFonts w:ascii="Cambria" w:hAnsi="Cambria"/>
          <w:szCs w:val="24"/>
        </w:rPr>
        <w:lastRenderedPageBreak/>
        <w:t>Berdasarkan peta tematik tersebut, topik-topik yang meliputi “ekuitas”, “rate”, dan “BI” perlu dikembangkan lebih lanjut, mengingat pentingnya untuk penelitian selanjutnya. Topik lain masih dapat dikembangkan melalui studi lebih lanjut untuk mengatasi kesenjangan penelitian yang ada dan memberikan wawasan yang lebih komprehensif tentang penelitian reksa dana syariah di Indonesia. Topik menarik yang masih menyisakan celah penelitian adalah “investor”.</w:t>
      </w:r>
    </w:p>
    <w:p w14:paraId="286FB3F3" w14:textId="77777777" w:rsidR="006D4C96" w:rsidRPr="0031249E" w:rsidRDefault="006D4C96" w:rsidP="001B43BA">
      <w:pPr>
        <w:tabs>
          <w:tab w:val="right" w:pos="4393"/>
        </w:tabs>
        <w:spacing w:line="240" w:lineRule="auto"/>
        <w:ind w:left="360"/>
        <w:rPr>
          <w:rFonts w:ascii="Cambria" w:hAnsi="Cambria"/>
          <w:szCs w:val="24"/>
        </w:rPr>
      </w:pPr>
      <w:r w:rsidRPr="0031249E">
        <w:rPr>
          <w:rFonts w:ascii="Cambria" w:hAnsi="Cambria"/>
          <w:szCs w:val="24"/>
        </w:rPr>
        <w:t>Meskipun penelitian tentang perilaku investor reksa dana syariah telah dilakukan oleh dan</w:t>
      </w:r>
      <w:r w:rsidRPr="0031249E">
        <w:rPr>
          <w:rFonts w:ascii="Cambria" w:hAnsi="Cambria"/>
          <w:szCs w:val="24"/>
        </w:rPr>
        <w:fldChar w:fldCharType="begin" w:fldLock="1"/>
      </w:r>
      <w:r w:rsidRPr="0031249E">
        <w:rPr>
          <w:rFonts w:ascii="Cambria" w:hAnsi="Cambria"/>
          <w:szCs w:val="24"/>
        </w:rPr>
        <w:instrText>ADDIN CSL_CITATION {"citationItems":[{"id":"ITEM-1","itemData":{"abstract":"… Populasi dalam penelitian ini adalah reksadana saham syariah yang diambil dari data … ; jumlah emiten yang terdaftar di Bursa Efek Indonesia sebanyak 700 perusahaan (urutan ke-4 di …","author":[{"dropping-particle":"","family":"Firdaus","given":"Prilla Kurnia Ningsih","non-dropping-particle":"","parse-names":false,"suffix":""}],"container-title":"INOVATOR jurnal manajemen","id":"ITEM-1","issue":"2","issued":{"date-parts":[["2019"]]},"page":"151-161","title":"Pengaruh Kinerja Reksadana Syariah terhadap Perilaku Investor","type":"article-journal","volume":"10"},"uris":["http://www.mendeley.com/documents/?uuid=44e11114-faa2-4c65-b03a-4528476aa267"]},{"id":"ITEM-2","itemData":{"DOI":"10.21067/jem.v17i2.5642","ISSN":"0216-373X","abstract":"The survey shows that the community's ability to utilize Islamic financial products is still low. This fact contradicts the potential development of a halal lifestyle and the increasing number of middle-class Muslims, and the fact that 87.2% of Indonesians are Muslim. It turns out that not many people know and take advantage of Islamic financial products, including Islamic investment. The purpose of the study was to determine the factors behind investment behaviour in sharia instruments as a form of implementing the halal lifestyle of people in Indonesia. The research subjects are Muslims who have or are currently investing in sharia securities, with 100 respondents. Data were collected by distributing online questionnaires. The data analysis technique uses Partial Least Square. The results show that attitudes and perceived behavioural control affect intention in investing in sharia securities, while subjective norms do not affect. Investment intention in sharia securities affects investment decisions. This study proves that investors' assessments and perceptions of factors that can support their investment activities, such as knowledge and skills, can influence their interest in investing in the Islamic capital market. Thus, it is essential to conduct training for novice investors to provide exposure to the Islamic capital market.","author":[{"dropping-particle":"","family":"Ningtyas","given":"Mega Noerman","non-dropping-particle":"","parse-names":false,"suffix":""},{"dropping-particle":"","family":"Istiqomah","given":"Dyah Febriantina","non-dropping-particle":"","parse-names":false,"suffix":""}],"container-title":"Jurnal Ekonomi Modernisasi","id":"ITEM-2","issue":"2","issued":{"date-parts":[["2021"]]},"page":"158-172","title":"Perilaku Investasi sebagai penerapan gaya hidup halal masyarakat Indonesia: tinjauan Theory of Planned Behavior","type":"article-journal","volume":"17"},"uris":["http://www.mendeley.com/documents/?uuid=98392408-8ebb-4b2c-8662-227bb722ff87"]},{"id":"ITEM-3","itemData":{"abstract":"Generation Z is expected to be a long-term investment segment by OJK. Even though they have started investing, most of the Z generation still feel they are limited to basic knowledge. The purpose of this study was to determine the effect of financial literacy, motivation, religiosity, and perceived ease on interest in investing in Jabodetabek Generation Z in sharia mutual funds. The quantitative approach is the research method chosen to conduct this research. The sample used is 100 people who are Generation Z who are in the Greater Jakarta area and have an understanding of sharia mutual funds. The use of Likert scale is used in the questionnaire to obtain data. This study uses multiple linear regression analysis which is supported by validity and reliability tests, classical assumption tests, and hypothesis tests consisting of F test, T-test, and coefficient of determination test assisted by SPSS version 25 software. The results of this study indicate a large influence of financial literacy, motivation, religiosity, and perceived ease of interest in investing in Jabodetabek Generation Z. in sharia mutual funds by 58.3%, the remaining 41.7% is influenced by other factors, while financial literacy, motivation, and perceived convenience have a significant effect on interest in investing in Jabodetabek generation Z in sharia mutual funds, but the religiosity variable does not significantly affect investment interest in generation Z in sharia mutual funds. besar pengaruh literasi keuangan, motivasi, religiusitas, dan persepsi kemudahan terhadap minat berinvestasi generasi Z jabodetabek. pada reksadana syariah sebesar 58,3% sisanya 41,7% dipengaruhi faktor lainnya, sedangkan literasi keuangan, motivasi, dan persepsi kemudahan berpengaruh secara signifikan terhadap minat berinvestasi generasi Z jabodetabek pada reksadana syariah, tetapi variabel religiusitas tidak berpengaruh signifikan terhadap minat berinvestasi generasi Z pada reksadana syariah.","author":[{"dropping-particle":"","family":"Rahmi","given":"Rifa Awaliyah","non-dropping-particle":"","parse-names":false,"suffix":""},{"dropping-particle":"","family":"Supriyanto","given":"Trisiliadi","non-dropping-particle":"","parse-names":false,"suffix":""},{"dropping-particle":"","family":"Nugrahaeni","given":"Siwi","non-dropping-particle":"","parse-names":false,"suffix":""}],"container-title":"Jurnal Ekonomi dan Perbankan Syariah","id":"ITEM-3","issue":"1","issued":{"date-parts":[["2022"]]},"title":"Analisis Faktor Pengaruh Minat Berinvestasi Generasi Z pada Reksadana Syariah","type":"article-journal","volume":"8"},"uris":["http://www.mendeley.com/documents/?uuid=477fe825-2a2c-4a33-8f3a-face2364b2f2"]}],"mendeley":{"formattedCitation":"(Firdaus, 2019; Ningtyas &amp; Istiqomah, 2021; Rahmi et al., 2022)","manualFormatting":"Firdaus (2019), Ningtyas &amp; Istiqomah (2021), Rahmi et al. (2022)","plainTextFormattedCitation":"(Firdaus, 2019; Ningtyas &amp; Istiqomah, 2021; Rahmi et al., 2022)","previouslyFormattedCitation":"(Firdaus, 2019)"},"properties":{"noteIndex":0},"schema":"https://github.com/citation-style-language/schema/raw/master/csl-citation.json"}</w:instrText>
      </w:r>
      <w:r w:rsidRPr="0031249E">
        <w:rPr>
          <w:rFonts w:ascii="Cambria" w:hAnsi="Cambria"/>
          <w:szCs w:val="24"/>
        </w:rPr>
        <w:fldChar w:fldCharType="separate"/>
      </w:r>
      <w:r w:rsidRPr="0031249E">
        <w:rPr>
          <w:rFonts w:ascii="Cambria" w:hAnsi="Cambria"/>
          <w:noProof/>
          <w:szCs w:val="24"/>
        </w:rPr>
        <w:t>Firdaus (2019), Ningtyas &amp; Istiqomah (2021), Rahmi dkk. (2022)</w:t>
      </w:r>
      <w:r w:rsidRPr="0031249E">
        <w:rPr>
          <w:rFonts w:ascii="Cambria" w:hAnsi="Cambria"/>
          <w:szCs w:val="24"/>
        </w:rPr>
        <w:fldChar w:fldCharType="end"/>
      </w:r>
      <w:r w:rsidRPr="0031249E">
        <w:rPr>
          <w:rFonts w:ascii="Cambria" w:hAnsi="Cambria"/>
          <w:szCs w:val="24"/>
        </w:rPr>
        <w:t>, tapi masih perlu ditelusuri. Hal ini dikarenakan perilaku investor sangat penting bagi perkembangan industri reksa dana syariah di Indonesia.</w:t>
      </w:r>
    </w:p>
    <w:p w14:paraId="605739CE" w14:textId="77777777" w:rsidR="006D4C96" w:rsidRPr="0031249E" w:rsidRDefault="006D4C96" w:rsidP="001B43BA">
      <w:pPr>
        <w:tabs>
          <w:tab w:val="right" w:pos="4393"/>
        </w:tabs>
        <w:spacing w:line="240" w:lineRule="auto"/>
        <w:rPr>
          <w:rFonts w:ascii="Cambria" w:hAnsi="Cambria"/>
          <w:bCs/>
          <w:szCs w:val="24"/>
        </w:rPr>
      </w:pPr>
    </w:p>
    <w:p w14:paraId="0D518D73" w14:textId="77777777" w:rsidR="006D4C96" w:rsidRPr="0031249E" w:rsidRDefault="006D4C96" w:rsidP="001B43BA">
      <w:pPr>
        <w:tabs>
          <w:tab w:val="right" w:pos="4393"/>
        </w:tabs>
        <w:spacing w:line="240" w:lineRule="auto"/>
        <w:rPr>
          <w:rFonts w:ascii="Cambria" w:hAnsi="Cambria"/>
          <w:b/>
          <w:szCs w:val="24"/>
        </w:rPr>
      </w:pPr>
      <w:r w:rsidRPr="0031249E">
        <w:rPr>
          <w:rFonts w:ascii="Cambria" w:hAnsi="Cambria"/>
          <w:b/>
          <w:szCs w:val="24"/>
        </w:rPr>
        <w:t>Kesimpulan</w:t>
      </w:r>
    </w:p>
    <w:p w14:paraId="0CAC20B0" w14:textId="77777777" w:rsidR="006D4C96" w:rsidRPr="0031249E" w:rsidRDefault="006D4C96" w:rsidP="001B43BA">
      <w:pPr>
        <w:tabs>
          <w:tab w:val="right" w:pos="4393"/>
        </w:tabs>
        <w:spacing w:line="240" w:lineRule="auto"/>
        <w:ind w:left="360"/>
        <w:rPr>
          <w:rStyle w:val="mceitemhidden"/>
          <w:rFonts w:ascii="Cambria" w:hAnsi="Cambria"/>
          <w:szCs w:val="24"/>
        </w:rPr>
      </w:pPr>
      <w:r w:rsidRPr="0031249E">
        <w:rPr>
          <w:rStyle w:val="mceitemhidden"/>
          <w:rFonts w:ascii="Cambria" w:hAnsi="Cambria"/>
          <w:szCs w:val="24"/>
          <w:shd w:val="clear" w:color="auto" w:fill="FFFFFF"/>
        </w:rPr>
        <w:t>Penelitian ini bertujuan untuk mengeksplorasi keadaan reksa dana syariah di Indonesia. Metode analisis data yang digunakan adalah analisis bibliometrik menggunakan biblioshiny. Sumber data diperoleh dari database Dimensions. Data penelitian artikel ini akan dianalisis terkait dengan judul reksa dana syariah di Indonesia yang diterbitkan antara tahun 2006 hingga 2022. Hasilnya mengidentifikasi penulis akademis, jurnal, dan lembaga terkemuka terkait reksa dana syariah di Indonesia. Beberapa topik dan kata kunci populer dalam reksa dana syariah di Indonesia berpotensi untuk diteliti lebih lanjut, terutama terkait dengan perilaku investor reksa dana syariah di Indonesia.</w:t>
      </w:r>
      <w:r w:rsidRPr="0031249E">
        <w:rPr>
          <w:rFonts w:ascii="Cambria" w:hAnsi="Cambria"/>
          <w:szCs w:val="24"/>
        </w:rPr>
        <w:t>Hal ini dikarenakan perilaku investor sangat penting bagi perkembangan industri reksa dana syariah di Indonesia.</w:t>
      </w:r>
    </w:p>
    <w:p w14:paraId="426EC459" w14:textId="77777777" w:rsidR="006D4C96" w:rsidRPr="0031249E" w:rsidRDefault="006D4C96" w:rsidP="001B43BA">
      <w:pPr>
        <w:tabs>
          <w:tab w:val="right" w:pos="4393"/>
        </w:tabs>
        <w:spacing w:line="240" w:lineRule="auto"/>
        <w:rPr>
          <w:rFonts w:ascii="Cambria" w:hAnsi="Cambria"/>
          <w:b/>
          <w:szCs w:val="24"/>
        </w:rPr>
      </w:pPr>
    </w:p>
    <w:p w14:paraId="2E6F5DF4" w14:textId="77777777" w:rsidR="006D4C96" w:rsidRPr="0031249E" w:rsidRDefault="006D4C96" w:rsidP="001B43BA">
      <w:pPr>
        <w:tabs>
          <w:tab w:val="right" w:pos="4393"/>
        </w:tabs>
        <w:spacing w:line="240" w:lineRule="auto"/>
        <w:ind w:left="0" w:firstLine="0"/>
        <w:rPr>
          <w:rFonts w:ascii="Cambria" w:hAnsi="Cambria"/>
          <w:bCs/>
          <w:szCs w:val="24"/>
        </w:rPr>
      </w:pPr>
    </w:p>
    <w:p w14:paraId="01742865" w14:textId="77777777" w:rsidR="00AA4B56" w:rsidRPr="0031249E" w:rsidRDefault="006D4C96" w:rsidP="001B43BA">
      <w:pPr>
        <w:spacing w:after="246" w:line="240" w:lineRule="auto"/>
        <w:ind w:left="0" w:right="1584"/>
        <w:rPr>
          <w:rFonts w:ascii="Cambria" w:hAnsi="Cambria"/>
          <w:b/>
          <w:szCs w:val="24"/>
        </w:rPr>
      </w:pPr>
      <w:r w:rsidRPr="0031249E">
        <w:rPr>
          <w:rFonts w:ascii="Cambria" w:hAnsi="Cambria"/>
          <w:b/>
          <w:szCs w:val="24"/>
        </w:rPr>
        <w:t>Referensi</w:t>
      </w:r>
    </w:p>
    <w:p w14:paraId="603E5A7E"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Abd. Majid, MS, &amp; Maulana, H. (2012). Analisis perbandingan produktivitas reksa dana syariah dan konvensional di Indonesia: Pendekatan Data Envelopment Analysis (DEA) dan General Least Squares (GLS). Jurnal Bisnis Internasional Gadjah Mada, 14(2), 183–208. https://doi.org/10.22146/gamaijb.5439</w:t>
      </w:r>
    </w:p>
    <w:p w14:paraId="53228FA1"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Abdelsalam, O., Fethi, MD, Matallín, JC, &amp; Tortosa-Ausina, E. (2014). Perbandingan kinerja reksa dana tanggung jawab sosial dan reksa dana syariah. Jurnal Perilaku Ekonomi dan Organisasi, 103, 1–21. https://doi.org/10.1016/j.jebo.2013.06.011</w:t>
      </w:r>
    </w:p>
    <w:p w14:paraId="6FED0274"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Al Rahahleh, N., &amp; Bhatti, MI (2022). Perbandingan empiris kinerja reksa dana compliant vs konvensional. Jurnal Internasional Pasar Berkembang, di depan-p (di depan-cetak).</w:t>
      </w:r>
      <w:hyperlink r:id="rId17" w:history="1">
        <w:r w:rsidRPr="0031249E">
          <w:rPr>
            <w:rStyle w:val="Hyperlink"/>
            <w:rFonts w:ascii="Cambria" w:hAnsi="Cambria"/>
            <w:noProof/>
            <w:szCs w:val="24"/>
          </w:rPr>
          <w:t>https://doi.org/10.1108/IJOEM-05-2020-0565</w:t>
        </w:r>
      </w:hyperlink>
    </w:p>
    <w:p w14:paraId="72841CB7"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Arifin, Z. (2018). Menguji Persistensi Kinerja Reksa Dana Syariah di Indonesia. Tinjauan Riset Bisnis dan Ekonomi Integratif, 7(1), 104–</w:t>
      </w:r>
      <w:r w:rsidRPr="0031249E">
        <w:rPr>
          <w:rFonts w:ascii="Cambria" w:hAnsi="Cambria"/>
          <w:noProof/>
          <w:szCs w:val="24"/>
        </w:rPr>
        <w:lastRenderedPageBreak/>
        <w:t>115.</w:t>
      </w:r>
    </w:p>
    <w:p w14:paraId="514E8CFE"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Basuki, N., &amp; Khoiruddin, M. (2018). Perbandingan Kinerja Reksa Dana Saham Syariah Antara Indonesia Dan Malaysia. Ekuilibrium : Jurnal Ilmiah Ekonomi, 13(1), 26. https://doi.org/10.24269/equilibrium.v13i1.918</w:t>
      </w:r>
    </w:p>
    <w:p w14:paraId="4D83D77F"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Caisar, J., Andriana, I., &amp; Thamrin, Kemas M. Husni. (2022). Analisis Perbandingan Kinerja Reksa Dana Saham Konvensional Dengan Saham Syariah. Al-Kharaj : Jurnal Ekonomi Syariah, Keuangan &amp; Bisnis, 5(1), 255–270. https://doi.org/10.47467/alkharaj.v5i1.1103</w:t>
      </w:r>
    </w:p>
    <w:p w14:paraId="55EEFA34"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Firdaus, PKN (2019). Pengaruh Kinerja Reksa Dana Syariah Terhadap Perilaku Investor. Jurnal Manajemen INOVATOR, 10(2), 151-161.</w:t>
      </w:r>
    </w:p>
    <w:p w14:paraId="4C017947"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Handoko, LH (2020). Analisis bibliometrik dan visualisasi artikel ekonomi dan keuangan Islam terindeks dalam ruang lingkup oleh penulis Indonesia. Pengeditan Sains, 7(2), 169–176. https://doi.org/10.6087/KCSE.213</w:t>
      </w:r>
    </w:p>
    <w:p w14:paraId="6F967135"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Indriani, R., &amp; Budyastuti, T. (2021). Analisis kinerja reksa dana konvensional dan reksa dana syariah untuk keputusan investasi investor. Jurnal Akuntansi, Keuangan, Pajak dan Informasi (JAKPI), 1(1), 63–76.</w:t>
      </w:r>
    </w:p>
    <w:p w14:paraId="7981E4FA"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Kementerian Agama Republik Indonesia. (2022). Portal Data Kementerian Agama RI. Data Rakyat Berdasarkan Agama.</w:t>
      </w:r>
    </w:p>
    <w:p w14:paraId="073A4C3A"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Lila Kusuma, I. (2016). Pengaruh Pertumbuhan Aset, Debt To Equity Ratio, Return on Equity, Total Asset Turnover dan Earning Per Share Terhadap Beta Saham Pada Perusahaan Yang Termasuk Dalam Grup Jakarta Islamic Index (JII) Periode 2013-2015. Jurnal Riset Akuntansi dan Keuangan, 4(2), 1005–1020. https://doi.org/10.17509/jrak.v4i2.4034</w:t>
      </w:r>
    </w:p>
    <w:p w14:paraId="628AF4DB"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Medias, F. (2017). Bank Wakaf: Solusi Pemberdayaan Sosial Ekonomi Indonesia. Jurnal Sastra Islam dan Masyarakat Muslim Indonesia, 2(1), 61–84.</w:t>
      </w:r>
    </w:p>
    <w:p w14:paraId="07E060B6"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Mulyawan, S. (2017). Kinerja Reksa Dana Syariah dan Beberapa Faktor yang Mempengaruhinya: Studi Pasar Modal Indonesia Tahun 2010-2013. Jurnal IJTIHAD Hukum Islam dan Wacana Kemanusiaan, 16(2), 217. https://doi.org/10.18326/ijtihad.v16i2.217-236</w:t>
      </w:r>
    </w:p>
    <w:p w14:paraId="45EACFDA"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Nandari, HUDRA (2017). Pengaruh Inflasi, Nilai Tukar dan Bi Rate Reksa Dana Syariah Di Indonesia. Jurnal An-Nisbah, 4(1), 52–73.</w:t>
      </w:r>
    </w:p>
    <w:p w14:paraId="5C34BEB4"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Ningtyas, MN, &amp; Istiqomah, DF (2021). Perilaku Investasi sebagai implementasi gaya hidup halal masyarakat Indonesia: tinjauan The Theory of Planned Behavior. Jurnal Ekonomi Modernisasi, 17(2), 158-172. https://doi.org/10.21067/jem.v17i2.5642</w:t>
      </w:r>
    </w:p>
    <w:p w14:paraId="6E84D76E"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OJK. (2018). Tentang Reksa Dana Syariah.</w:t>
      </w:r>
    </w:p>
    <w:p w14:paraId="79498135"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Rahmi, RA, Supriyanto, T., &amp; Nugrahaeni, S. (2022). Analisis Faktor Pengaruh Minat Investasi Generasi Z Pada Reksa Dana Syariah. Jurnal Perbankan dan Ekonomi Islam, 8(1).</w:t>
      </w:r>
    </w:p>
    <w:p w14:paraId="13EEBDFA"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 xml:space="preserve">Rapini, T., Farida, U., &amp; Listyono Putro, R. (2021). Eksistensi Kinerja Reksa </w:t>
      </w:r>
      <w:r w:rsidRPr="0031249E">
        <w:rPr>
          <w:rFonts w:ascii="Cambria" w:hAnsi="Cambria"/>
          <w:noProof/>
          <w:szCs w:val="24"/>
        </w:rPr>
        <w:lastRenderedPageBreak/>
        <w:t>Dana Syariah di Era New Normal. Jurnal Tabarru': Perbankan dan Keuangan Islam, 4(2), 356–368. https://doi.org/10.25299/jtb.2021.vol4(2).7422</w:t>
      </w:r>
    </w:p>
    <w:p w14:paraId="48FACCB4"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Razzaq, N., Gul, S., Sajid, M., Mughal, S., &amp; Bukhari, SA (2012). “Kinerja Reksa Dana Islam di Pakistan.” Tinjauan Ekonomi dan Keuangan, 2(3), 16–25. http://www.businessjournalz.org/efr</w:t>
      </w:r>
    </w:p>
    <w:p w14:paraId="588BE7A9"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Rusydiana, AS (2021). Analisis bibliometrik jurnal, penulis, dan topik terkait COVID-19 dan keuangan Islam yang tercantum dalam database Dimensions oleh Biblioshiny. Pengeditan Sains, 8(1), 72–78. https://doi.org/10.6087/kcse.232</w:t>
      </w:r>
    </w:p>
    <w:p w14:paraId="0A43292C"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b/>
          <w:szCs w:val="24"/>
          <w:lang w:val="id-ID"/>
        </w:rPr>
        <w:fldChar w:fldCharType="begin" w:fldLock="1"/>
      </w:r>
      <w:r w:rsidRPr="0031249E">
        <w:rPr>
          <w:rFonts w:ascii="Cambria" w:hAnsi="Cambria"/>
          <w:b/>
          <w:szCs w:val="24"/>
          <w:lang w:val="id-ID"/>
        </w:rPr>
        <w:instrText xml:space="preserve">ADDIN Mendeley Bibliography CSL_BIBLIOGRAPHY </w:instrText>
      </w:r>
      <w:r w:rsidRPr="0031249E">
        <w:rPr>
          <w:rFonts w:ascii="Cambria" w:hAnsi="Cambria"/>
          <w:b/>
          <w:szCs w:val="24"/>
          <w:lang w:val="id-ID"/>
        </w:rPr>
        <w:fldChar w:fldCharType="separate"/>
      </w:r>
      <w:r w:rsidRPr="0031249E">
        <w:rPr>
          <w:rFonts w:ascii="Cambria" w:hAnsi="Cambria"/>
          <w:noProof/>
          <w:szCs w:val="24"/>
        </w:rPr>
        <w:t>Abd. Majid, MS, &amp; Maulana, H. (2012). Analisis perbandingan produktivitas reksa dana syariah dan konvensional di Indonesia: Pendekatan Data Envelopment Analysis (DEA) dan General Least Squares (GLS). Jurnal Bisnis Internasional Gadjah Mada, 14(2), 183–208. https://doi.org/10.22146/gamaijb.5439</w:t>
      </w:r>
    </w:p>
    <w:p w14:paraId="4D8F2A3E"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Abdelsalam, O., Fethi, MD, Matallín, JC, &amp; Tortosa-Ausina, E. (2014). Perbandingan kinerja reksa dana tanggung jawab sosial dan reksa dana syariah. Jurnal Perilaku Ekonomi dan Organisasi, 103, 1–21. https://doi.org/10.1016/j.jebo.2013.06.011</w:t>
      </w:r>
    </w:p>
    <w:p w14:paraId="08545B47"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Al Rahahleh, N., &amp; Bhatti, MI (2022). Perbandingan empiris kinerja reksa dana compliant vs konvensional. Jurnal Internasional Pasar Berkembang, di depan-p (di depan-cetak). https://doi.org/10.1108/IJOEM-05-2020-0565</w:t>
      </w:r>
    </w:p>
    <w:p w14:paraId="273E6299"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Arifin, Z. (2018). Menguji Persistensi Kinerja Reksa Dana Syariah di Indonesia. Tinjauan Riset Bisnis dan Ekonomi Integratif, 7(1), 104–115.</w:t>
      </w:r>
    </w:p>
    <w:p w14:paraId="1F595D14"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Basuki, N., &amp; Khoiruddin, M. (2018). Perbandingan Kinerja Reksa Dana Saham Syariah Antara Indonesia Dan Malaysia. Ekuilibrium : Jurnal Ilmiah Ekonomi, 13(1), 26. https://doi.org/10.24269/equilibrium.v13i1.918</w:t>
      </w:r>
    </w:p>
    <w:p w14:paraId="42548568"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Caisar, J., Andriana, I., &amp; Thamrin, Kemas M. Husni. (2022). Analisis Perbandingan Kinerja Reksa Dana Saham Konvensional Dengan Saham Syariah. Al-Kharaj : Jurnal Ekonomi Syariah, Keuangan &amp; Bisnis, 5(1), 255–270. https://doi.org/10.47467/alkharaj.v5i1.1103</w:t>
      </w:r>
    </w:p>
    <w:p w14:paraId="3F8EC903"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Firdaus, PKN (2019). Pengaruh Kinerja Reksa Dana Syariah Terhadap Perilaku Investor. Jurnal Manajemen INOVATOR, 10(2), 151-161.</w:t>
      </w:r>
    </w:p>
    <w:p w14:paraId="63C256F2"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Handoko, LH (2020). Analisis bibliometrik dan visualisasi artikel ekonomi dan keuangan Islam terindeks dalam ruang lingkup oleh penulis Indonesia. Pengeditan Sains, 7(2), 169–176. https://doi.org/10.6087/KCSE.213</w:t>
      </w:r>
    </w:p>
    <w:p w14:paraId="318E8078"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Indriani, R., &amp; Budyastuti, T. (2021). Analisis kinerja reksa dana konvensional dan reksa dana syariah untuk keputusan investasi investor. Jurnal Akuntansi, Keuangan, Pajak dan Informasi (JAKPI), 1(1), 63–76.</w:t>
      </w:r>
    </w:p>
    <w:p w14:paraId="42E34D6A"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 xml:space="preserve">Kementerian Agama Republik Indonesia. (2022). Portal Data </w:t>
      </w:r>
      <w:r w:rsidRPr="0031249E">
        <w:rPr>
          <w:rFonts w:ascii="Cambria" w:hAnsi="Cambria"/>
          <w:noProof/>
          <w:szCs w:val="24"/>
        </w:rPr>
        <w:lastRenderedPageBreak/>
        <w:t>Kementerian Agama RI. Data Rakyat Berdasarkan Agama.</w:t>
      </w:r>
    </w:p>
    <w:p w14:paraId="251DC2D6"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Lila Kusuma, I. (2016). Pengaruh Pertumbuhan Aset, Debt To Equity Ratio, Return on Equity, Total Asset Turnover dan Earning Per Share Terhadap Beta Saham Pada Perusahaan Yang Termasuk Dalam Grup Jakarta Islamic Index (JII) Periode 2013-2015. Jurnal Riset Akuntansi dan Keuangan, 4(2), 1005–1020. https://doi.org/10.17509/jrak.v4i2.4034</w:t>
      </w:r>
    </w:p>
    <w:p w14:paraId="01C851BB"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Medias, F. (2017). Bank Wakaf: Solusi Pemberdayaan Sosial Ekonomi Indonesia. Jurnal Sastra Islam dan Masyarakat Muslim Indonesia, 2(1), 61–84.</w:t>
      </w:r>
    </w:p>
    <w:p w14:paraId="7CF41912"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Mulyawan, S. (2017). Kinerja Reksa Dana Syariah dan Beberapa Faktor yang Mempengaruhinya: Studi Pasar Modal Indonesia Tahun 2010-2013. Jurnal IJTIHAD Hukum Islam dan Wacana Kemanusiaan, 16(2), 217. https://doi.org/10.18326/ijtihad.v16i2.217-236</w:t>
      </w:r>
    </w:p>
    <w:p w14:paraId="3B72B2D7"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Nandari, HUDRA (2017). Pengaruh Inflasi, Nilai Tukar dan Bi Rate Reksa Dana Syariah Di Indonesia. Jurnal An-Nisbah, 4(1), 52–73.</w:t>
      </w:r>
    </w:p>
    <w:p w14:paraId="3A43B0DB"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Ningtyas, MN, &amp; Istiqomah, DF (2021). Perilaku Investasi sebagai implementasi gaya hidup halal masyarakat Indonesia: tinjauan The Theory of Planned Behavior. Jurnal Ekonomi Modernisasi, 17(2), 158-172. https://doi.org/10.21067/jem.v17i2.5642</w:t>
      </w:r>
    </w:p>
    <w:p w14:paraId="51E497BA"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OJK. (2018). Tentang Reksa Dana Syariah.</w:t>
      </w:r>
    </w:p>
    <w:p w14:paraId="499D9010"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Rahmi, RA, Supriyanto, T., &amp; Nugrahaeni, S. (2022). Analisis Faktor Pengaruh Minat Investasi Generasi Z Pada Reksa Dana Syariah. Jurnal Perbankan dan Ekonomi Islam, 8(1).</w:t>
      </w:r>
    </w:p>
    <w:p w14:paraId="3CAC9951"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Rapini, T., Farida, U., &amp; Listyono Putro, R. (2021). Eksistensi Kinerja Reksa Dana Syariah di Era New Normal. Jurnal Tabarru': Perbankan dan Keuangan Islam, 4(2), 356–368. https://doi.org/10.25299/jtb.2021.vol4(2).7422</w:t>
      </w:r>
    </w:p>
    <w:p w14:paraId="44829AA8"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Razzaq, N., Gul, S., Sajid, M., Mughal, S., &amp; Bukhari, SA (2012). “Kinerja Reksa Dana Islam di Pakistan.” Tinjauan Ekonomi dan Keuangan, 2(3), 16–25. http://www.businessjournalz.org/efr</w:t>
      </w:r>
    </w:p>
    <w:p w14:paraId="6173FDE4"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Rusydiana, AS (2021). Analisis bibliometrik jurnal, penulis, dan topik terkait COVID-19 dan keuangan Islam yang tercantum dalam database Dimensions oleh Biblioshiny. Pengeditan Sains, 8(1), 72–78. https://doi.org/10.6087/kcse.232</w:t>
      </w:r>
    </w:p>
    <w:p w14:paraId="39DFEC05"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Sam, MI (2014). Ikatan Fatwa Keuangan Syariah DSN MUI. Erlangga.</w:t>
      </w:r>
    </w:p>
    <w:p w14:paraId="5E6E4DA3"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Sanaullah, S., Noor, A., Khan, S., &amp; Khan, MS (2021). Sebuah Investigasi Empiris Kinerja Manajer Dana di Pakistan. Jurnal Manajemen IRASD, 3(1), 56–68. https://doi.org/1052131/jom.2021.0301.0026</w:t>
      </w:r>
    </w:p>
    <w:p w14:paraId="48A54D8A"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Sari, KN, Sulchan, M., &amp; Mutamimah, M. (2021). Perbandingan Kinerja Reksa Dana dan Reksa Dana Syariah. Bukhari: Studi Ekonomi dan Keuangan Islam, 1(1), 65–77. https://doi.org/10.35912/bukhori.v1i1.600</w:t>
      </w:r>
    </w:p>
    <w:p w14:paraId="089C937C"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 xml:space="preserve">Sepdiana, N. (2019). Kinerja Reksa Dana Syariah di Pasar Modal Indonesia. JAS (Journal of Islamic Accounting), 3(1), 118-132. </w:t>
      </w:r>
      <w:r w:rsidRPr="0031249E">
        <w:rPr>
          <w:rFonts w:ascii="Cambria" w:hAnsi="Cambria"/>
          <w:noProof/>
          <w:szCs w:val="24"/>
        </w:rPr>
        <w:lastRenderedPageBreak/>
        <w:t>https://doi.org/10.46367/jas.v3i1.167</w:t>
      </w:r>
    </w:p>
    <w:p w14:paraId="79D2A22F"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Septiana, F., &amp; Al Arif, MNR (2020). Determinan Nilai Aktiva Bersih Reksa Dana Syariah di Indonesia. Al-Amwal : Jurnal Ekonomi dan Perbankan Islam, 12(1), 1. https://doi.org/10.24235/amwal.v1i1.5443</w:t>
      </w:r>
    </w:p>
    <w:p w14:paraId="20A4D060"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Siswantoro, D. (2012). Apakah harga "tidak nyata" itu sah? : Kasus reksa dana syariah di Indonesia saat krisis keuangan. Jurnal Akuntansi Islam dan Riset Bisnis, 3(2), 163-177. https://doi.org/10.1108/17590811211265966</w:t>
      </w:r>
    </w:p>
    <w:p w14:paraId="6DDAAA8B"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Syafrida, I., Aminah, I., &amp; Waluyo, B. (2014). Perbandingan Kinerja Instrumen Investasi Berbasis Syariah dengan Konvensional di Pasar Modal Indonesia. Jurnal Ekonomi Islam Al-Iqtishad, 6(2), 195-206. https://doi.org/10.15408/aiq.v6i2.1230</w:t>
      </w:r>
    </w:p>
    <w:p w14:paraId="78CD951F"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Wahyudi, I. (2014). Komitmen dan kepercayaan dalam mencapai tujuan keuangan aliansi strategis: Kasus dalam keuangan mikro Islam. Jurnal Internasional Keuangan dan Manajemen Islam dan Timur Tengah, 7(4), 421–442. https://doi.org/10.1108/IMEFM-10-2013-0113</w:t>
      </w:r>
    </w:p>
    <w:p w14:paraId="01DEC592"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Waridah, W., &amp; Mediawati, E. (2016). Analisis Kinerja Reksa Dana Syariah. Jurnal Riset Akuntansi dan Keuangan, 4(2), 1077–1086. https://doi.org/10.17509/jrak.v4i2.4043</w:t>
      </w:r>
    </w:p>
    <w:p w14:paraId="5A4E1687"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noProof/>
          <w:szCs w:val="24"/>
        </w:rPr>
        <w:t>Zamzany, FR, &amp; Setiawan, E. (2018). Studi Banding Kinerja Reksa Dana Saham Konvensional dan Syariah di Indonesia. Akuntabilitas, 11(2), 305–318. https://doi.org/10.15408/akt.v11i2.8794</w:t>
      </w:r>
    </w:p>
    <w:p w14:paraId="00C3247F" w14:textId="77777777" w:rsidR="006D4C96" w:rsidRPr="0031249E" w:rsidRDefault="006D4C96" w:rsidP="001B43BA">
      <w:pPr>
        <w:widowControl w:val="0"/>
        <w:autoSpaceDE w:val="0"/>
        <w:autoSpaceDN w:val="0"/>
        <w:adjustRightInd w:val="0"/>
        <w:spacing w:line="240" w:lineRule="auto"/>
        <w:ind w:left="851" w:hanging="480"/>
        <w:rPr>
          <w:rFonts w:ascii="Cambria" w:hAnsi="Cambria"/>
          <w:noProof/>
          <w:szCs w:val="24"/>
        </w:rPr>
      </w:pPr>
      <w:r w:rsidRPr="0031249E">
        <w:rPr>
          <w:rFonts w:ascii="Cambria" w:hAnsi="Cambria"/>
          <w:b/>
          <w:szCs w:val="24"/>
          <w:lang w:val="id-ID"/>
        </w:rPr>
        <w:fldChar w:fldCharType="end"/>
      </w:r>
    </w:p>
    <w:p w14:paraId="595BD262" w14:textId="77777777" w:rsidR="006D4C96" w:rsidRPr="000D51BA" w:rsidRDefault="006D4C96" w:rsidP="001B43BA">
      <w:pPr>
        <w:spacing w:after="246" w:line="240" w:lineRule="auto"/>
        <w:ind w:left="0" w:right="1584"/>
        <w:rPr>
          <w:rFonts w:ascii="Cambria" w:hAnsi="Cambria"/>
          <w:b/>
          <w:bCs/>
        </w:rPr>
      </w:pPr>
    </w:p>
    <w:sectPr w:rsidR="006D4C96" w:rsidRPr="000D51BA" w:rsidSect="002C293E">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4F6D9" w14:textId="77777777" w:rsidR="0067720B" w:rsidRDefault="0067720B" w:rsidP="001B43BA">
      <w:pPr>
        <w:spacing w:after="0" w:line="240" w:lineRule="auto"/>
      </w:pPr>
      <w:r>
        <w:separator/>
      </w:r>
    </w:p>
  </w:endnote>
  <w:endnote w:type="continuationSeparator" w:id="0">
    <w:p w14:paraId="079ADBD4" w14:textId="77777777" w:rsidR="0067720B" w:rsidRDefault="0067720B" w:rsidP="001B4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17B4" w14:textId="77777777" w:rsidR="0067720B" w:rsidRDefault="0067720B" w:rsidP="001B43BA">
      <w:pPr>
        <w:spacing w:after="0" w:line="240" w:lineRule="auto"/>
      </w:pPr>
      <w:r>
        <w:separator/>
      </w:r>
    </w:p>
  </w:footnote>
  <w:footnote w:type="continuationSeparator" w:id="0">
    <w:p w14:paraId="6D6038D3" w14:textId="77777777" w:rsidR="0067720B" w:rsidRDefault="0067720B" w:rsidP="001B4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51EE"/>
    <w:multiLevelType w:val="hybridMultilevel"/>
    <w:tmpl w:val="A3940A1C"/>
    <w:lvl w:ilvl="0" w:tplc="22823154">
      <w:start w:val="1"/>
      <w:numFmt w:val="decimal"/>
      <w:lvlText w:val="%1."/>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22AB6">
      <w:start w:val="1"/>
      <w:numFmt w:val="lowerLetter"/>
      <w:lvlText w:val="%2."/>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86E0A">
      <w:start w:val="1"/>
      <w:numFmt w:val="lowerRoman"/>
      <w:lvlText w:val="%3"/>
      <w:lvlJc w:val="left"/>
      <w:pPr>
        <w:ind w:left="2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4ED94">
      <w:start w:val="1"/>
      <w:numFmt w:val="decimal"/>
      <w:lvlText w:val="%4"/>
      <w:lvlJc w:val="left"/>
      <w:pPr>
        <w:ind w:left="3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8A5F62">
      <w:start w:val="1"/>
      <w:numFmt w:val="lowerLetter"/>
      <w:lvlText w:val="%5"/>
      <w:lvlJc w:val="left"/>
      <w:pPr>
        <w:ind w:left="4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A8FB4">
      <w:start w:val="1"/>
      <w:numFmt w:val="lowerRoman"/>
      <w:lvlText w:val="%6"/>
      <w:lvlJc w:val="left"/>
      <w:pPr>
        <w:ind w:left="5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5EC004">
      <w:start w:val="1"/>
      <w:numFmt w:val="decimal"/>
      <w:lvlText w:val="%7"/>
      <w:lvlJc w:val="left"/>
      <w:pPr>
        <w:ind w:left="5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0A8410">
      <w:start w:val="1"/>
      <w:numFmt w:val="lowerLetter"/>
      <w:lvlText w:val="%8"/>
      <w:lvlJc w:val="left"/>
      <w:pPr>
        <w:ind w:left="6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0563E">
      <w:start w:val="1"/>
      <w:numFmt w:val="lowerRoman"/>
      <w:lvlText w:val="%9"/>
      <w:lvlJc w:val="left"/>
      <w:pPr>
        <w:ind w:left="7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B7507A"/>
    <w:multiLevelType w:val="multilevel"/>
    <w:tmpl w:val="57F0ED3A"/>
    <w:lvl w:ilvl="0">
      <w:start w:val="1"/>
      <w:numFmt w:val="lowerLetter"/>
      <w:lvlText w:val="%1."/>
      <w:lvlJc w:val="left"/>
      <w:pPr>
        <w:ind w:left="780" w:hanging="78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33E63BD6"/>
    <w:multiLevelType w:val="hybridMultilevel"/>
    <w:tmpl w:val="69A2D8CE"/>
    <w:lvl w:ilvl="0" w:tplc="D23281F6">
      <w:start w:val="1"/>
      <w:numFmt w:val="lowerLetter"/>
      <w:lvlText w:val="%1."/>
      <w:lvlJc w:val="left"/>
      <w:pPr>
        <w:ind w:left="3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54D7D8">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A568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6D23A">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88841C">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F24C06">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162310">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A9F2E">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1CAF28">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7274B7"/>
    <w:multiLevelType w:val="hybridMultilevel"/>
    <w:tmpl w:val="8536FE7C"/>
    <w:lvl w:ilvl="0" w:tplc="FA2AB998">
      <w:start w:val="1"/>
      <w:numFmt w:val="lowerLetter"/>
      <w:lvlText w:val="%1."/>
      <w:lvlJc w:val="left"/>
      <w:pPr>
        <w:ind w:left="-1908" w:hanging="360"/>
      </w:pPr>
      <w:rPr>
        <w:rFonts w:hint="default"/>
      </w:rPr>
    </w:lvl>
    <w:lvl w:ilvl="1" w:tplc="38090019" w:tentative="1">
      <w:start w:val="1"/>
      <w:numFmt w:val="lowerLetter"/>
      <w:lvlText w:val="%2."/>
      <w:lvlJc w:val="left"/>
      <w:pPr>
        <w:ind w:left="-1188" w:hanging="360"/>
      </w:pPr>
    </w:lvl>
    <w:lvl w:ilvl="2" w:tplc="3809001B" w:tentative="1">
      <w:start w:val="1"/>
      <w:numFmt w:val="lowerRoman"/>
      <w:lvlText w:val="%3."/>
      <w:lvlJc w:val="right"/>
      <w:pPr>
        <w:ind w:left="-468" w:hanging="180"/>
      </w:pPr>
    </w:lvl>
    <w:lvl w:ilvl="3" w:tplc="3809000F" w:tentative="1">
      <w:start w:val="1"/>
      <w:numFmt w:val="decimal"/>
      <w:lvlText w:val="%4."/>
      <w:lvlJc w:val="left"/>
      <w:pPr>
        <w:ind w:left="252" w:hanging="360"/>
      </w:pPr>
    </w:lvl>
    <w:lvl w:ilvl="4" w:tplc="38090019" w:tentative="1">
      <w:start w:val="1"/>
      <w:numFmt w:val="lowerLetter"/>
      <w:lvlText w:val="%5."/>
      <w:lvlJc w:val="left"/>
      <w:pPr>
        <w:ind w:left="972" w:hanging="360"/>
      </w:pPr>
    </w:lvl>
    <w:lvl w:ilvl="5" w:tplc="3809001B" w:tentative="1">
      <w:start w:val="1"/>
      <w:numFmt w:val="lowerRoman"/>
      <w:lvlText w:val="%6."/>
      <w:lvlJc w:val="right"/>
      <w:pPr>
        <w:ind w:left="1692" w:hanging="180"/>
      </w:pPr>
    </w:lvl>
    <w:lvl w:ilvl="6" w:tplc="3809000F" w:tentative="1">
      <w:start w:val="1"/>
      <w:numFmt w:val="decimal"/>
      <w:lvlText w:val="%7."/>
      <w:lvlJc w:val="left"/>
      <w:pPr>
        <w:ind w:left="2412" w:hanging="360"/>
      </w:pPr>
    </w:lvl>
    <w:lvl w:ilvl="7" w:tplc="38090019" w:tentative="1">
      <w:start w:val="1"/>
      <w:numFmt w:val="lowerLetter"/>
      <w:lvlText w:val="%8."/>
      <w:lvlJc w:val="left"/>
      <w:pPr>
        <w:ind w:left="3132" w:hanging="360"/>
      </w:pPr>
    </w:lvl>
    <w:lvl w:ilvl="8" w:tplc="3809001B" w:tentative="1">
      <w:start w:val="1"/>
      <w:numFmt w:val="lowerRoman"/>
      <w:lvlText w:val="%9."/>
      <w:lvlJc w:val="right"/>
      <w:pPr>
        <w:ind w:left="3852" w:hanging="180"/>
      </w:pPr>
    </w:lvl>
  </w:abstractNum>
  <w:abstractNum w:abstractNumId="4" w15:restartNumberingAfterBreak="0">
    <w:nsid w:val="49B56177"/>
    <w:multiLevelType w:val="hybridMultilevel"/>
    <w:tmpl w:val="FC7EFE48"/>
    <w:lvl w:ilvl="0" w:tplc="E1786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A0367"/>
    <w:multiLevelType w:val="hybridMultilevel"/>
    <w:tmpl w:val="64AEC06C"/>
    <w:lvl w:ilvl="0" w:tplc="71FE84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DE9EE8">
      <w:start w:val="1"/>
      <w:numFmt w:val="lowerLetter"/>
      <w:lvlText w:val="%2"/>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245E40">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F0793A">
      <w:start w:val="1"/>
      <w:numFmt w:val="decimal"/>
      <w:lvlRestart w:val="0"/>
      <w:lvlText w:val="%4."/>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4F74A">
      <w:start w:val="1"/>
      <w:numFmt w:val="lowerLetter"/>
      <w:lvlText w:val="%5"/>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6ADF60">
      <w:start w:val="1"/>
      <w:numFmt w:val="lowerRoman"/>
      <w:lvlText w:val="%6"/>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2E7DA">
      <w:start w:val="1"/>
      <w:numFmt w:val="decimal"/>
      <w:lvlText w:val="%7"/>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05830">
      <w:start w:val="1"/>
      <w:numFmt w:val="lowerLetter"/>
      <w:lvlText w:val="%8"/>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A412E">
      <w:start w:val="1"/>
      <w:numFmt w:val="lowerRoman"/>
      <w:lvlText w:val="%9"/>
      <w:lvlJc w:val="left"/>
      <w:pPr>
        <w:ind w:left="7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3C5255"/>
    <w:multiLevelType w:val="hybridMultilevel"/>
    <w:tmpl w:val="35F67320"/>
    <w:lvl w:ilvl="0" w:tplc="38090019">
      <w:start w:val="1"/>
      <w:numFmt w:val="lowerLetter"/>
      <w:lvlText w:val="%1."/>
      <w:lvlJc w:val="left"/>
      <w:pPr>
        <w:ind w:left="-1548" w:hanging="360"/>
      </w:pPr>
    </w:lvl>
    <w:lvl w:ilvl="1" w:tplc="38090019">
      <w:start w:val="1"/>
      <w:numFmt w:val="lowerLetter"/>
      <w:lvlText w:val="%2."/>
      <w:lvlJc w:val="left"/>
      <w:pPr>
        <w:ind w:left="-828" w:hanging="360"/>
      </w:pPr>
    </w:lvl>
    <w:lvl w:ilvl="2" w:tplc="3809001B" w:tentative="1">
      <w:start w:val="1"/>
      <w:numFmt w:val="lowerRoman"/>
      <w:lvlText w:val="%3."/>
      <w:lvlJc w:val="right"/>
      <w:pPr>
        <w:ind w:left="-108" w:hanging="180"/>
      </w:pPr>
    </w:lvl>
    <w:lvl w:ilvl="3" w:tplc="3809000F" w:tentative="1">
      <w:start w:val="1"/>
      <w:numFmt w:val="decimal"/>
      <w:lvlText w:val="%4."/>
      <w:lvlJc w:val="left"/>
      <w:pPr>
        <w:ind w:left="612" w:hanging="360"/>
      </w:pPr>
    </w:lvl>
    <w:lvl w:ilvl="4" w:tplc="38090019" w:tentative="1">
      <w:start w:val="1"/>
      <w:numFmt w:val="lowerLetter"/>
      <w:lvlText w:val="%5."/>
      <w:lvlJc w:val="left"/>
      <w:pPr>
        <w:ind w:left="1332" w:hanging="360"/>
      </w:pPr>
    </w:lvl>
    <w:lvl w:ilvl="5" w:tplc="3809001B" w:tentative="1">
      <w:start w:val="1"/>
      <w:numFmt w:val="lowerRoman"/>
      <w:lvlText w:val="%6."/>
      <w:lvlJc w:val="right"/>
      <w:pPr>
        <w:ind w:left="2052" w:hanging="180"/>
      </w:pPr>
    </w:lvl>
    <w:lvl w:ilvl="6" w:tplc="3809000F" w:tentative="1">
      <w:start w:val="1"/>
      <w:numFmt w:val="decimal"/>
      <w:lvlText w:val="%7."/>
      <w:lvlJc w:val="left"/>
      <w:pPr>
        <w:ind w:left="2772" w:hanging="360"/>
      </w:pPr>
    </w:lvl>
    <w:lvl w:ilvl="7" w:tplc="38090019" w:tentative="1">
      <w:start w:val="1"/>
      <w:numFmt w:val="lowerLetter"/>
      <w:lvlText w:val="%8."/>
      <w:lvlJc w:val="left"/>
      <w:pPr>
        <w:ind w:left="3492" w:hanging="360"/>
      </w:pPr>
    </w:lvl>
    <w:lvl w:ilvl="8" w:tplc="3809001B" w:tentative="1">
      <w:start w:val="1"/>
      <w:numFmt w:val="lowerRoman"/>
      <w:lvlText w:val="%9."/>
      <w:lvlJc w:val="right"/>
      <w:pPr>
        <w:ind w:left="4212" w:hanging="180"/>
      </w:pPr>
    </w:lvl>
  </w:abstractNum>
  <w:abstractNum w:abstractNumId="7" w15:restartNumberingAfterBreak="0">
    <w:nsid w:val="6C6F387D"/>
    <w:multiLevelType w:val="hybridMultilevel"/>
    <w:tmpl w:val="2C9E0F1E"/>
    <w:lvl w:ilvl="0" w:tplc="D46231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80696528">
    <w:abstractNumId w:val="1"/>
  </w:num>
  <w:num w:numId="2" w16cid:durableId="2098599042">
    <w:abstractNumId w:val="0"/>
  </w:num>
  <w:num w:numId="3" w16cid:durableId="1490711038">
    <w:abstractNumId w:val="5"/>
  </w:num>
  <w:num w:numId="4" w16cid:durableId="663120606">
    <w:abstractNumId w:val="2"/>
  </w:num>
  <w:num w:numId="5" w16cid:durableId="245503636">
    <w:abstractNumId w:val="6"/>
  </w:num>
  <w:num w:numId="6" w16cid:durableId="1441341397">
    <w:abstractNumId w:val="3"/>
  </w:num>
  <w:num w:numId="7" w16cid:durableId="395706797">
    <w:abstractNumId w:val="4"/>
  </w:num>
  <w:num w:numId="8" w16cid:durableId="807941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93E"/>
    <w:rsid w:val="000045AF"/>
    <w:rsid w:val="00065575"/>
    <w:rsid w:val="00080EFC"/>
    <w:rsid w:val="000830D3"/>
    <w:rsid w:val="000867B5"/>
    <w:rsid w:val="000933DE"/>
    <w:rsid w:val="000A6D66"/>
    <w:rsid w:val="000B7E0F"/>
    <w:rsid w:val="000D51BA"/>
    <w:rsid w:val="0011001C"/>
    <w:rsid w:val="0011436C"/>
    <w:rsid w:val="001341E6"/>
    <w:rsid w:val="00136EB5"/>
    <w:rsid w:val="00195A8F"/>
    <w:rsid w:val="001B26D7"/>
    <w:rsid w:val="001B43BA"/>
    <w:rsid w:val="001C5ED9"/>
    <w:rsid w:val="00203B97"/>
    <w:rsid w:val="002065B0"/>
    <w:rsid w:val="002211FA"/>
    <w:rsid w:val="00241C37"/>
    <w:rsid w:val="0029104D"/>
    <w:rsid w:val="002B0010"/>
    <w:rsid w:val="002B606F"/>
    <w:rsid w:val="002C293E"/>
    <w:rsid w:val="00303C8B"/>
    <w:rsid w:val="00306EBC"/>
    <w:rsid w:val="0031249E"/>
    <w:rsid w:val="00314D84"/>
    <w:rsid w:val="00392B6B"/>
    <w:rsid w:val="003A3DCC"/>
    <w:rsid w:val="00401951"/>
    <w:rsid w:val="004743B3"/>
    <w:rsid w:val="004B26B7"/>
    <w:rsid w:val="004B7A69"/>
    <w:rsid w:val="004F6905"/>
    <w:rsid w:val="00506D48"/>
    <w:rsid w:val="00507D31"/>
    <w:rsid w:val="00536EAE"/>
    <w:rsid w:val="0059478F"/>
    <w:rsid w:val="005B2C91"/>
    <w:rsid w:val="005B6B19"/>
    <w:rsid w:val="005E3AC4"/>
    <w:rsid w:val="006129C6"/>
    <w:rsid w:val="00662B04"/>
    <w:rsid w:val="0067720B"/>
    <w:rsid w:val="006B7D1D"/>
    <w:rsid w:val="006D4C96"/>
    <w:rsid w:val="006F30AF"/>
    <w:rsid w:val="00710F16"/>
    <w:rsid w:val="00721D3E"/>
    <w:rsid w:val="00722D02"/>
    <w:rsid w:val="007637C9"/>
    <w:rsid w:val="00793154"/>
    <w:rsid w:val="00796229"/>
    <w:rsid w:val="00800C8E"/>
    <w:rsid w:val="00814E8E"/>
    <w:rsid w:val="00833AEE"/>
    <w:rsid w:val="008566CF"/>
    <w:rsid w:val="00861CD9"/>
    <w:rsid w:val="008654CD"/>
    <w:rsid w:val="0087081B"/>
    <w:rsid w:val="008863F4"/>
    <w:rsid w:val="008B3CBE"/>
    <w:rsid w:val="008B6CCC"/>
    <w:rsid w:val="00912B6D"/>
    <w:rsid w:val="009404CB"/>
    <w:rsid w:val="00944DD9"/>
    <w:rsid w:val="00945488"/>
    <w:rsid w:val="00953047"/>
    <w:rsid w:val="0095584B"/>
    <w:rsid w:val="00964B2C"/>
    <w:rsid w:val="00972BF9"/>
    <w:rsid w:val="009B04C5"/>
    <w:rsid w:val="009D1A45"/>
    <w:rsid w:val="009D5349"/>
    <w:rsid w:val="009F5E0B"/>
    <w:rsid w:val="00A47137"/>
    <w:rsid w:val="00A607D4"/>
    <w:rsid w:val="00AA4B56"/>
    <w:rsid w:val="00AC2780"/>
    <w:rsid w:val="00AD1922"/>
    <w:rsid w:val="00B05A2C"/>
    <w:rsid w:val="00B107AC"/>
    <w:rsid w:val="00B23C04"/>
    <w:rsid w:val="00B60B63"/>
    <w:rsid w:val="00B60E92"/>
    <w:rsid w:val="00BC5ABD"/>
    <w:rsid w:val="00C56312"/>
    <w:rsid w:val="00C61EE8"/>
    <w:rsid w:val="00C87C09"/>
    <w:rsid w:val="00CA056B"/>
    <w:rsid w:val="00CA5A04"/>
    <w:rsid w:val="00D136DC"/>
    <w:rsid w:val="00D15F94"/>
    <w:rsid w:val="00D37ADD"/>
    <w:rsid w:val="00DB6D08"/>
    <w:rsid w:val="00E12863"/>
    <w:rsid w:val="00E34666"/>
    <w:rsid w:val="00E52DFA"/>
    <w:rsid w:val="00E677F1"/>
    <w:rsid w:val="00EB42F5"/>
    <w:rsid w:val="00EC7615"/>
    <w:rsid w:val="00F21F78"/>
    <w:rsid w:val="00F36DF7"/>
    <w:rsid w:val="00F60235"/>
    <w:rsid w:val="00F606D2"/>
    <w:rsid w:val="00F72D5A"/>
    <w:rsid w:val="00FA13E0"/>
    <w:rsid w:val="00FE5F6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88C0"/>
  <w15:docId w15:val="{058AB741-7059-4CCC-9DD3-318611EC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93E"/>
    <w:pPr>
      <w:spacing w:after="5" w:line="480" w:lineRule="auto"/>
      <w:ind w:left="10" w:hanging="10"/>
      <w:jc w:val="both"/>
    </w:pPr>
    <w:rPr>
      <w:rFonts w:ascii="Times New Roman" w:eastAsia="Times New Roman" w:hAnsi="Times New Roman" w:cs="Times New Roman"/>
      <w:color w:val="000000"/>
      <w:kern w:val="0"/>
      <w:sz w:val="24"/>
      <w:lang w:eastAsia="en-ID"/>
      <w14:ligatures w14:val="none"/>
    </w:rPr>
  </w:style>
  <w:style w:type="paragraph" w:styleId="Heading2">
    <w:name w:val="heading 2"/>
    <w:basedOn w:val="Normal"/>
    <w:next w:val="Normal"/>
    <w:link w:val="Heading2Char"/>
    <w:uiPriority w:val="9"/>
    <w:semiHidden/>
    <w:unhideWhenUsed/>
    <w:qFormat/>
    <w:rsid w:val="009D1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next w:val="Normal"/>
    <w:link w:val="Heading4Char"/>
    <w:uiPriority w:val="9"/>
    <w:unhideWhenUsed/>
    <w:qFormat/>
    <w:rsid w:val="002C293E"/>
    <w:pPr>
      <w:keepNext/>
      <w:keepLines/>
      <w:spacing w:after="3" w:line="265" w:lineRule="auto"/>
      <w:ind w:left="10" w:right="142" w:hanging="10"/>
      <w:jc w:val="both"/>
      <w:outlineLvl w:val="3"/>
    </w:pPr>
    <w:rPr>
      <w:rFonts w:ascii="Times New Roman" w:eastAsia="Times New Roman" w:hAnsi="Times New Roman" w:cs="Times New Roman"/>
      <w:b/>
      <w:color w:val="000000"/>
      <w:kern w:val="0"/>
      <w:sz w:val="24"/>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C293E"/>
    <w:rPr>
      <w:rFonts w:ascii="Times New Roman" w:eastAsia="Times New Roman" w:hAnsi="Times New Roman" w:cs="Times New Roman"/>
      <w:b/>
      <w:color w:val="000000"/>
      <w:kern w:val="0"/>
      <w:sz w:val="24"/>
      <w:lang w:eastAsia="en-ID"/>
      <w14:ligatures w14:val="none"/>
    </w:rPr>
  </w:style>
  <w:style w:type="character" w:customStyle="1" w:styleId="Heading2Char">
    <w:name w:val="Heading 2 Char"/>
    <w:basedOn w:val="DefaultParagraphFont"/>
    <w:link w:val="Heading2"/>
    <w:uiPriority w:val="9"/>
    <w:semiHidden/>
    <w:rsid w:val="009D1A45"/>
    <w:rPr>
      <w:rFonts w:asciiTheme="majorHAnsi" w:eastAsiaTheme="majorEastAsia" w:hAnsiTheme="majorHAnsi" w:cstheme="majorBidi"/>
      <w:color w:val="2F5496" w:themeColor="accent1" w:themeShade="BF"/>
      <w:kern w:val="0"/>
      <w:sz w:val="26"/>
      <w:szCs w:val="26"/>
      <w:lang w:eastAsia="en-ID"/>
      <w14:ligatures w14:val="none"/>
    </w:rPr>
  </w:style>
  <w:style w:type="table" w:customStyle="1" w:styleId="TableGrid">
    <w:name w:val="TableGrid"/>
    <w:rsid w:val="00F36DF7"/>
    <w:pPr>
      <w:spacing w:after="0" w:line="240" w:lineRule="auto"/>
    </w:pPr>
    <w:rPr>
      <w:rFonts w:eastAsiaTheme="minorEastAsia"/>
      <w:kern w:val="0"/>
      <w:lang w:eastAsia="en-ID"/>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AA4B56"/>
    <w:rPr>
      <w:color w:val="0563C1" w:themeColor="hyperlink"/>
      <w:u w:val="single"/>
    </w:rPr>
  </w:style>
  <w:style w:type="paragraph" w:styleId="ListParagraph">
    <w:name w:val="List Paragraph"/>
    <w:aliases w:val="Body of text"/>
    <w:basedOn w:val="Normal"/>
    <w:link w:val="ListParagraphChar"/>
    <w:uiPriority w:val="34"/>
    <w:qFormat/>
    <w:rsid w:val="009B04C5"/>
    <w:pPr>
      <w:ind w:left="720"/>
      <w:contextualSpacing/>
    </w:pPr>
  </w:style>
  <w:style w:type="character" w:styleId="CommentReference">
    <w:name w:val="annotation reference"/>
    <w:basedOn w:val="DefaultParagraphFont"/>
    <w:uiPriority w:val="99"/>
    <w:semiHidden/>
    <w:unhideWhenUsed/>
    <w:rsid w:val="004B26B7"/>
    <w:rPr>
      <w:sz w:val="16"/>
      <w:szCs w:val="16"/>
    </w:rPr>
  </w:style>
  <w:style w:type="paragraph" w:styleId="CommentText">
    <w:name w:val="annotation text"/>
    <w:basedOn w:val="Normal"/>
    <w:link w:val="CommentTextChar"/>
    <w:uiPriority w:val="99"/>
    <w:unhideWhenUsed/>
    <w:rsid w:val="004B26B7"/>
    <w:pPr>
      <w:spacing w:line="240" w:lineRule="auto"/>
    </w:pPr>
    <w:rPr>
      <w:sz w:val="20"/>
      <w:szCs w:val="20"/>
    </w:rPr>
  </w:style>
  <w:style w:type="character" w:customStyle="1" w:styleId="CommentTextChar">
    <w:name w:val="Comment Text Char"/>
    <w:basedOn w:val="DefaultParagraphFont"/>
    <w:link w:val="CommentText"/>
    <w:uiPriority w:val="99"/>
    <w:rsid w:val="004B26B7"/>
    <w:rPr>
      <w:rFonts w:ascii="Times New Roman" w:eastAsia="Times New Roman" w:hAnsi="Times New Roman" w:cs="Times New Roman"/>
      <w:color w:val="000000"/>
      <w:kern w:val="0"/>
      <w:sz w:val="20"/>
      <w:szCs w:val="20"/>
      <w:lang w:eastAsia="en-ID"/>
      <w14:ligatures w14:val="none"/>
    </w:rPr>
  </w:style>
  <w:style w:type="paragraph" w:styleId="CommentSubject">
    <w:name w:val="annotation subject"/>
    <w:basedOn w:val="CommentText"/>
    <w:next w:val="CommentText"/>
    <w:link w:val="CommentSubjectChar"/>
    <w:uiPriority w:val="99"/>
    <w:semiHidden/>
    <w:unhideWhenUsed/>
    <w:rsid w:val="004B26B7"/>
    <w:rPr>
      <w:b/>
      <w:bCs/>
    </w:rPr>
  </w:style>
  <w:style w:type="character" w:customStyle="1" w:styleId="CommentSubjectChar">
    <w:name w:val="Comment Subject Char"/>
    <w:basedOn w:val="CommentTextChar"/>
    <w:link w:val="CommentSubject"/>
    <w:uiPriority w:val="99"/>
    <w:semiHidden/>
    <w:rsid w:val="004B26B7"/>
    <w:rPr>
      <w:rFonts w:ascii="Times New Roman" w:eastAsia="Times New Roman" w:hAnsi="Times New Roman" w:cs="Times New Roman"/>
      <w:b/>
      <w:bCs/>
      <w:color w:val="000000"/>
      <w:kern w:val="0"/>
      <w:sz w:val="20"/>
      <w:szCs w:val="20"/>
      <w:lang w:eastAsia="en-ID"/>
      <w14:ligatures w14:val="none"/>
    </w:rPr>
  </w:style>
  <w:style w:type="paragraph" w:styleId="BalloonText">
    <w:name w:val="Balloon Text"/>
    <w:basedOn w:val="Normal"/>
    <w:link w:val="BalloonTextChar"/>
    <w:uiPriority w:val="99"/>
    <w:semiHidden/>
    <w:unhideWhenUsed/>
    <w:rsid w:val="00EB4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2F5"/>
    <w:rPr>
      <w:rFonts w:ascii="Tahoma" w:eastAsia="Times New Roman" w:hAnsi="Tahoma" w:cs="Tahoma"/>
      <w:color w:val="000000"/>
      <w:kern w:val="0"/>
      <w:sz w:val="16"/>
      <w:szCs w:val="16"/>
      <w:lang w:eastAsia="en-ID"/>
      <w14:ligatures w14:val="none"/>
    </w:rPr>
  </w:style>
  <w:style w:type="paragraph" w:styleId="BodyText">
    <w:name w:val="Body Text"/>
    <w:basedOn w:val="Normal"/>
    <w:link w:val="BodyTextChar"/>
    <w:uiPriority w:val="99"/>
    <w:unhideWhenUsed/>
    <w:qFormat/>
    <w:rsid w:val="00EB42F5"/>
    <w:pPr>
      <w:widowControl w:val="0"/>
      <w:spacing w:after="0" w:line="240" w:lineRule="auto"/>
      <w:ind w:left="0" w:firstLine="0"/>
      <w:jc w:val="left"/>
    </w:pPr>
    <w:rPr>
      <w:color w:val="auto"/>
      <w:sz w:val="22"/>
      <w:lang w:val="en-US" w:eastAsia="en-US"/>
    </w:rPr>
  </w:style>
  <w:style w:type="character" w:customStyle="1" w:styleId="BodyTextChar">
    <w:name w:val="Body Text Char"/>
    <w:basedOn w:val="DefaultParagraphFont"/>
    <w:link w:val="BodyText"/>
    <w:uiPriority w:val="99"/>
    <w:rsid w:val="00EB42F5"/>
    <w:rPr>
      <w:rFonts w:ascii="Times New Roman" w:eastAsia="Times New Roman" w:hAnsi="Times New Roman" w:cs="Times New Roman"/>
      <w:kern w:val="0"/>
      <w:lang w:val="en-US"/>
      <w14:ligatures w14:val="none"/>
    </w:rPr>
  </w:style>
  <w:style w:type="character" w:customStyle="1" w:styleId="AffiliationsChar">
    <w:name w:val="Affiliations Char"/>
    <w:link w:val="Affiliations"/>
    <w:locked/>
    <w:rsid w:val="00EB42F5"/>
    <w:rPr>
      <w:rFonts w:ascii="Times New Roman" w:hAnsi="Times New Roman" w:cs="Times New Roman"/>
      <w:sz w:val="24"/>
    </w:rPr>
  </w:style>
  <w:style w:type="paragraph" w:customStyle="1" w:styleId="Affiliations">
    <w:name w:val="Affiliations"/>
    <w:basedOn w:val="Normal"/>
    <w:link w:val="AffiliationsChar"/>
    <w:rsid w:val="00EB42F5"/>
    <w:pPr>
      <w:widowControl w:val="0"/>
      <w:spacing w:after="0" w:line="360" w:lineRule="auto"/>
      <w:ind w:left="0" w:firstLine="0"/>
      <w:jc w:val="center"/>
    </w:pPr>
    <w:rPr>
      <w:rFonts w:eastAsiaTheme="minorHAnsi"/>
      <w:color w:val="auto"/>
      <w:kern w:val="2"/>
      <w:lang w:eastAsia="en-US"/>
      <w14:ligatures w14:val="standardContextual"/>
    </w:rPr>
  </w:style>
  <w:style w:type="paragraph" w:customStyle="1" w:styleId="MainText">
    <w:name w:val="Main Text"/>
    <w:basedOn w:val="Normal"/>
    <w:rsid w:val="00241C37"/>
    <w:pPr>
      <w:spacing w:after="0" w:line="240" w:lineRule="auto"/>
      <w:ind w:left="0" w:firstLine="284"/>
    </w:pPr>
    <w:rPr>
      <w:color w:val="auto"/>
      <w:sz w:val="20"/>
      <w:szCs w:val="24"/>
      <w:lang w:val="en-US" w:eastAsia="en-US"/>
    </w:rPr>
  </w:style>
  <w:style w:type="paragraph" w:customStyle="1" w:styleId="Body">
    <w:name w:val="Body"/>
    <w:basedOn w:val="Normal"/>
    <w:rsid w:val="00241C37"/>
    <w:pPr>
      <w:widowControl w:val="0"/>
      <w:autoSpaceDE w:val="0"/>
      <w:autoSpaceDN w:val="0"/>
      <w:adjustRightInd w:val="0"/>
      <w:spacing w:after="0" w:line="360" w:lineRule="auto"/>
      <w:ind w:left="0" w:firstLine="340"/>
    </w:pPr>
    <w:rPr>
      <w:rFonts w:eastAsia="BatangChe"/>
      <w:color w:val="auto"/>
      <w:szCs w:val="20"/>
      <w:lang w:val="en-US" w:eastAsia="ko-KR"/>
    </w:rPr>
  </w:style>
  <w:style w:type="paragraph" w:styleId="NormalWeb">
    <w:name w:val="Normal (Web)"/>
    <w:basedOn w:val="Normal"/>
    <w:uiPriority w:val="99"/>
    <w:unhideWhenUsed/>
    <w:rsid w:val="00241C37"/>
    <w:pPr>
      <w:spacing w:before="100" w:beforeAutospacing="1" w:after="100" w:afterAutospacing="1" w:line="240" w:lineRule="auto"/>
      <w:ind w:left="0" w:firstLine="0"/>
      <w:jc w:val="left"/>
    </w:pPr>
    <w:rPr>
      <w:color w:val="auto"/>
      <w:szCs w:val="24"/>
      <w:lang w:eastAsia="en-US"/>
    </w:rPr>
  </w:style>
  <w:style w:type="character" w:customStyle="1" w:styleId="mceitemhidden">
    <w:name w:val="mceitemhidden"/>
    <w:rsid w:val="00536EAE"/>
  </w:style>
  <w:style w:type="table" w:customStyle="1" w:styleId="PlainTable21">
    <w:name w:val="Plain Table 21"/>
    <w:basedOn w:val="TableNormal"/>
    <w:uiPriority w:val="42"/>
    <w:rsid w:val="00536EAE"/>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ody of text Char"/>
    <w:link w:val="ListParagraph"/>
    <w:uiPriority w:val="34"/>
    <w:locked/>
    <w:rsid w:val="00536EAE"/>
    <w:rPr>
      <w:rFonts w:ascii="Times New Roman" w:eastAsia="Times New Roman" w:hAnsi="Times New Roman" w:cs="Times New Roman"/>
      <w:color w:val="000000"/>
      <w:kern w:val="0"/>
      <w:sz w:val="24"/>
      <w:lang w:eastAsia="en-ID"/>
      <w14:ligatures w14:val="none"/>
    </w:rPr>
  </w:style>
  <w:style w:type="table" w:styleId="TableGrid0">
    <w:name w:val="Table Grid"/>
    <w:basedOn w:val="TableNormal"/>
    <w:uiPriority w:val="59"/>
    <w:rsid w:val="006D4C96"/>
    <w:pPr>
      <w:spacing w:after="0" w:line="240" w:lineRule="auto"/>
    </w:pPr>
    <w:rPr>
      <w:rFonts w:eastAsiaTheme="minorEastAsia"/>
      <w:kern w:val="0"/>
      <w:lang w:val="id-ID" w:eastAsia="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B4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3BA"/>
    <w:rPr>
      <w:rFonts w:ascii="Times New Roman" w:eastAsia="Times New Roman" w:hAnsi="Times New Roman" w:cs="Times New Roman"/>
      <w:color w:val="000000"/>
      <w:kern w:val="0"/>
      <w:sz w:val="24"/>
      <w:lang w:eastAsia="en-ID"/>
      <w14:ligatures w14:val="none"/>
    </w:rPr>
  </w:style>
  <w:style w:type="paragraph" w:styleId="Footer">
    <w:name w:val="footer"/>
    <w:basedOn w:val="Normal"/>
    <w:link w:val="FooterChar"/>
    <w:uiPriority w:val="99"/>
    <w:unhideWhenUsed/>
    <w:rsid w:val="001B4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3BA"/>
    <w:rPr>
      <w:rFonts w:ascii="Times New Roman" w:eastAsia="Times New Roman" w:hAnsi="Times New Roman" w:cs="Times New Roman"/>
      <w:color w:val="000000"/>
      <w:kern w:val="0"/>
      <w:sz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30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alma@iain-padangsidimpuan.ac.id"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108/IJOEM-05-2020-0565" TargetMode="Externa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DEAF0-8DFD-4934-AFED-04E503C5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13248</Words>
  <Characters>75514</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ATIKA</dc:creator>
  <cp:lastModifiedBy>nurudin</cp:lastModifiedBy>
  <cp:revision>15</cp:revision>
  <dcterms:created xsi:type="dcterms:W3CDTF">2022-10-19T04:20:00Z</dcterms:created>
  <dcterms:modified xsi:type="dcterms:W3CDTF">2022-10-26T08:26:00Z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75dcddab-ee95-329f-8ee9-1975d235d48b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http://csl.mendeley.com/styles/596078281/american-political-science-association-2</vt:lpwstr>
  </property>
  <property fmtid="{D5CDD505-2E9C-101B-9397-08002B2CF9AE}" pid="10" name="Mendeley Recent Style Name 2_1">
    <vt:lpwstr>American Political Science Association - Alfian yuda prasetiyo</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11th edition - Harvard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