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57" w:rsidRDefault="00917757">
      <w:bookmarkStart w:id="0" w:name="_GoBack"/>
      <w:bookmarkEnd w:id="0"/>
    </w:p>
    <w:p w:rsidR="00A92E27" w:rsidRPr="00A92E27" w:rsidRDefault="009578B4" w:rsidP="00A92E27">
      <w:pPr>
        <w:pStyle w:val="Heading1"/>
        <w:numPr>
          <w:ilvl w:val="0"/>
          <w:numId w:val="1"/>
        </w:numPr>
        <w:rPr>
          <w:b w:val="0"/>
          <w:bCs w:val="0"/>
        </w:rPr>
      </w:pPr>
      <w:r w:rsidRPr="00A92E27">
        <w:rPr>
          <w:b w:val="0"/>
          <w:bCs w:val="0"/>
        </w:rPr>
        <w:t>OKI Bank M&amp;A Transaction Data</w:t>
      </w:r>
    </w:p>
    <w:bookmarkStart w:id="1" w:name="_Toc158243522" w:displacedByCustomXml="next"/>
    <w:bookmarkStart w:id="2" w:name="_Toc158243065" w:displacedByCustomXml="next"/>
    <w:sdt>
      <w:sdtPr>
        <w:rPr>
          <w:rFonts w:asciiTheme="majorBidi" w:eastAsiaTheme="minorEastAsia" w:hAnsiTheme="majorBidi" w:cstheme="majorBidi"/>
          <w:szCs w:val="20"/>
          <w:highlight w:val="yellow"/>
        </w:rPr>
        <w:alias w:val="Klik disini untuk tabel"/>
        <w:tag w:val="tabel"/>
        <w:id w:val="-477379455"/>
        <w:placeholder>
          <w:docPart w:val="A358CD1AB74048E0B91C153843A2C79C"/>
        </w:placeholder>
        <w:docPartList>
          <w:docPartGallery w:val="Tables"/>
        </w:docPartList>
      </w:sdtPr>
      <w:sdtEndPr>
        <w:rPr>
          <w:rFonts w:eastAsia="Times New Roman"/>
          <w:szCs w:val="24"/>
          <w:highlight w:val="none"/>
        </w:rPr>
      </w:sdtEndPr>
      <w:sdtContent>
        <w:p w:rsidR="00A92E27" w:rsidRPr="00B26B56" w:rsidRDefault="009578B4" w:rsidP="00A92E27">
          <w:pPr>
            <w:keepNext/>
            <w:spacing w:line="360" w:lineRule="auto"/>
            <w:jc w:val="center"/>
            <w:rPr>
              <w:rStyle w:val="SubtleEmphasis"/>
              <w:i w:val="0"/>
              <w:iCs w:val="0"/>
            </w:rPr>
          </w:pPr>
          <w:r>
            <w:t>Table</w:t>
          </w:r>
          <w:r>
            <w:fldChar w:fldCharType="begin"/>
          </w:r>
          <w:r>
            <w:instrText xml:space="preserve"> SEQ Tabel_Lampiran \* ARABIC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en-US"/>
            </w:rPr>
            <w:t>. Sample List of Sharia Banks</w:t>
          </w:r>
          <w:bookmarkEnd w:id="2"/>
          <w:bookmarkEnd w:id="1"/>
        </w:p>
        <w:tbl>
          <w:tblPr>
            <w:tblStyle w:val="LightShading-Accent1"/>
            <w:tblW w:w="5034" w:type="pct"/>
            <w:jc w:val="center"/>
            <w:tblLayout w:type="fixed"/>
            <w:tblLook w:val="0660" w:firstRow="1" w:lastRow="1" w:firstColumn="0" w:lastColumn="0" w:noHBand="1" w:noVBand="1"/>
          </w:tblPr>
          <w:tblGrid>
            <w:gridCol w:w="941"/>
            <w:gridCol w:w="4477"/>
            <w:gridCol w:w="3814"/>
            <w:gridCol w:w="2177"/>
            <w:gridCol w:w="2634"/>
          </w:tblGrid>
          <w:tr w:rsidR="00917757" w:rsidTr="0091775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55"/>
              <w:jc w:val="center"/>
            </w:trPr>
            <w:tc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No</w:t>
                </w:r>
              </w:p>
            </w:tc>
            <w:tc>
              <w:tcPr>
                <w:tcW w:w="15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>
                  <w:rPr>
                    <w:rFonts w:asciiTheme="majorBidi" w:hAnsiTheme="majorBidi" w:cstheme="majorBidi"/>
                    <w:color w:val="auto"/>
                  </w:rPr>
                  <w:t>Bidder Banks / Acquirers (Bidder Banks)</w:t>
                </w:r>
              </w:p>
            </w:tc>
            <w:tc>
              <w:tcPr>
                <w:tcW w:w="1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>
                  <w:rPr>
                    <w:rFonts w:asciiTheme="majorBidi" w:hAnsiTheme="majorBidi" w:cstheme="majorBidi"/>
                    <w:color w:val="auto"/>
                  </w:rPr>
                  <w:t>Target Banks (Acquired Banks)</w:t>
                </w:r>
              </w:p>
            </w:tc>
            <w:tc>
              <w:tcPr>
                <w:tcW w:w="7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>
                  <w:rPr>
                    <w:rFonts w:asciiTheme="majorBidi" w:hAnsiTheme="majorBidi" w:cstheme="majorBidi"/>
                    <w:color w:val="auto"/>
                  </w:rPr>
                  <w:t>Agreement Date</w:t>
                </w: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>
                  <w:rPr>
                    <w:rFonts w:asciiTheme="majorBidi" w:hAnsiTheme="majorBidi" w:cstheme="majorBidi"/>
                    <w:color w:val="auto"/>
                  </w:rPr>
                  <w:t>Country</w:t>
                </w:r>
              </w:p>
            </w:tc>
          </w:tr>
          <w:tr w:rsidR="00917757" w:rsidTr="00917757">
            <w:trPr>
              <w:trHeight w:val="569"/>
              <w:jc w:val="center"/>
            </w:trPr>
            <w:tc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</w:t>
                </w:r>
              </w:p>
            </w:tc>
            <w:tc>
              <w:tcPr>
                <w:tcW w:w="15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Al Salam Banks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Bsc</w:t>
                </w:r>
                <w:proofErr w:type="spellEnd"/>
              </w:p>
            </w:tc>
            <w:tc>
              <w:tcPr>
                <w:tcW w:w="1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BMI Banks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Bsc</w:t>
                </w:r>
                <w:proofErr w:type="spellEnd"/>
              </w:p>
            </w:tc>
            <w:tc>
              <w:tcPr>
                <w:tcW w:w="7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3/2/2014</w:t>
                </w: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Sanabis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>, Bahrain</w:t>
                </w:r>
              </w:p>
            </w:tc>
          </w:tr>
          <w:tr w:rsidR="00917757" w:rsidTr="00917757">
            <w:trPr>
              <w:trHeight w:val="555"/>
              <w:jc w:val="center"/>
            </w:trPr>
            <w:tc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2</w:t>
                </w:r>
              </w:p>
            </w:tc>
            <w:tc>
              <w:tcPr>
                <w:tcW w:w="15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Barwa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Qsc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(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Dukhan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Bank)</w:t>
                </w:r>
              </w:p>
            </w:tc>
            <w:tc>
              <w:tcPr>
                <w:tcW w:w="1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International Bank Of Qatar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Qsc</w:t>
                </w:r>
                <w:proofErr w:type="spellEnd"/>
              </w:p>
            </w:tc>
            <w:tc>
              <w:tcPr>
                <w:tcW w:w="7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12/4/2018</w:t>
                </w: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Doha, Qatar</w:t>
                </w:r>
              </w:p>
            </w:tc>
          </w:tr>
          <w:tr w:rsidR="00917757" w:rsidTr="00917757">
            <w:trPr>
              <w:trHeight w:val="277"/>
              <w:jc w:val="center"/>
            </w:trPr>
            <w:tc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3</w:t>
                </w:r>
              </w:p>
            </w:tc>
            <w:tc>
              <w:tcPr>
                <w:tcW w:w="15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Dubai Islamic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Plc</w:t>
                </w:r>
                <w:proofErr w:type="spellEnd"/>
              </w:p>
            </w:tc>
            <w:tc>
              <w:tcPr>
                <w:tcW w:w="1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Noor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Pjsc</w:t>
                </w:r>
                <w:proofErr w:type="spellEnd"/>
              </w:p>
            </w:tc>
            <w:tc>
              <w:tcPr>
                <w:tcW w:w="7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01/22/2020</w:t>
                </w: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Dubai, UAE</w:t>
                </w:r>
              </w:p>
            </w:tc>
          </w:tr>
          <w:tr w:rsidR="00917757" w:rsidTr="00917757">
            <w:trPr>
              <w:trHeight w:val="584"/>
              <w:jc w:val="center"/>
            </w:trPr>
            <w:tc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4</w:t>
                </w:r>
              </w:p>
            </w:tc>
            <w:tc>
              <w:tcPr>
                <w:tcW w:w="15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Kuwait Finance House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Ksc</w:t>
                </w:r>
                <w:proofErr w:type="spellEnd"/>
              </w:p>
            </w:tc>
            <w:tc>
              <w:tcPr>
                <w:tcW w:w="1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Member of United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Bsc</w:t>
                </w:r>
                <w:proofErr w:type="spellEnd"/>
              </w:p>
            </w:tc>
            <w:tc>
              <w:tcPr>
                <w:tcW w:w="7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02/25/2020</w:t>
                </w: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Safat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>, Kuwait</w:t>
                </w:r>
              </w:p>
            </w:tc>
          </w:tr>
          <w:tr w:rsidR="00917757" w:rsidTr="00917757">
            <w:trPr>
              <w:trHeight w:val="847"/>
              <w:jc w:val="center"/>
            </w:trPr>
            <w:tc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5</w:t>
                </w:r>
              </w:p>
            </w:tc>
            <w:tc>
              <w:tcPr>
                <w:tcW w:w="15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Indonesian Sharia Bank</w:t>
                </w:r>
              </w:p>
            </w:tc>
            <w:tc>
              <w:tcPr>
                <w:tcW w:w="1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BRI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Syariah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;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Syariah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Mandiri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; And BNI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Syariah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</w:t>
                </w:r>
              </w:p>
            </w:tc>
            <w:tc>
              <w:tcPr>
                <w:tcW w:w="7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1/2/2021</w:t>
                </w: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Jakarta, Indonesia</w:t>
                </w:r>
              </w:p>
            </w:tc>
          </w:tr>
          <w:tr w:rsidR="00917757" w:rsidTr="00917757">
            <w:trPr>
              <w:trHeight w:val="277"/>
              <w:jc w:val="center"/>
            </w:trPr>
            <w:tc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6</w:t>
                </w:r>
              </w:p>
            </w:tc>
            <w:tc>
              <w:tcPr>
                <w:tcW w:w="15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Masraf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Al Rayan (QSC)</w:t>
                </w:r>
              </w:p>
            </w:tc>
            <w:tc>
              <w:tcPr>
                <w:tcW w:w="1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Ai Rayan (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Uk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>, London)</w:t>
                </w:r>
              </w:p>
            </w:tc>
            <w:tc>
              <w:tcPr>
                <w:tcW w:w="7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08/23/2021</w:t>
                </w: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Doha, Qatar</w:t>
                </w:r>
              </w:p>
            </w:tc>
          </w:tr>
          <w:tr w:rsidR="00917757" w:rsidTr="00917757">
            <w:trPr>
              <w:trHeight w:val="555"/>
              <w:jc w:val="center"/>
            </w:trPr>
            <w:tc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7</w:t>
                </w:r>
              </w:p>
            </w:tc>
            <w:tc>
              <w:tcPr>
                <w:tcW w:w="15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i/>
                    <w:iCs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Ithmaar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Bsc</w:t>
                </w:r>
                <w:proofErr w:type="spellEnd"/>
              </w:p>
            </w:tc>
            <w:tc>
              <w:tcPr>
                <w:tcW w:w="1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Faisal Islamic Bank Of Egypt</w:t>
                </w:r>
              </w:p>
            </w:tc>
            <w:tc>
              <w:tcPr>
                <w:tcW w:w="7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10/18/2020</w:t>
                </w: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Al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Seef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>, Bahrain</w:t>
                </w:r>
              </w:p>
            </w:tc>
          </w:tr>
          <w:tr w:rsidR="00917757" w:rsidTr="00917757">
            <w:trPr>
              <w:trHeight w:val="569"/>
              <w:jc w:val="center"/>
            </w:trPr>
            <w:tc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8</w:t>
                </w:r>
              </w:p>
            </w:tc>
            <w:tc>
              <w:tcPr>
                <w:tcW w:w="15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Oman Arab Bank</w:t>
                </w:r>
              </w:p>
            </w:tc>
            <w:tc>
              <w:tcPr>
                <w:tcW w:w="1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Alizz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Islamic Bank SAOG</w:t>
                </w:r>
              </w:p>
            </w:tc>
            <w:tc>
              <w:tcPr>
                <w:tcW w:w="7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1/7/2020</w:t>
                </w: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Ruwi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>, Oman</w:t>
                </w:r>
              </w:p>
            </w:tc>
          </w:tr>
          <w:tr w:rsidR="00917757" w:rsidTr="00917757">
            <w:trPr>
              <w:trHeight w:val="555"/>
              <w:jc w:val="center"/>
            </w:trPr>
            <w:tc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9</w:t>
                </w:r>
              </w:p>
            </w:tc>
            <w:tc>
              <w:tcPr>
                <w:tcW w:w="15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Arab Banking Corporation BSC</w:t>
                </w:r>
              </w:p>
            </w:tc>
            <w:tc>
              <w:tcPr>
                <w:tcW w:w="1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Blom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Egypt (Egypt)</w:t>
                </w:r>
              </w:p>
            </w:tc>
            <w:tc>
              <w:tcPr>
                <w:tcW w:w="7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1/08/2021</w:t>
                </w: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Manama, Bahrain</w:t>
                </w:r>
              </w:p>
            </w:tc>
          </w:tr>
          <w:tr w:rsidR="00917757" w:rsidTr="00917757">
            <w:trPr>
              <w:trHeight w:val="569"/>
              <w:jc w:val="center"/>
            </w:trPr>
            <w:tc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10</w:t>
                </w:r>
              </w:p>
            </w:tc>
            <w:tc>
              <w:tcPr>
                <w:tcW w:w="15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Islamic Bank Pakistan Limited</w:t>
                </w:r>
              </w:p>
            </w:tc>
            <w:tc>
              <w:tcPr>
                <w:tcW w:w="1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Kasb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Limited</w:t>
                </w:r>
              </w:p>
            </w:tc>
            <w:tc>
              <w:tcPr>
                <w:tcW w:w="7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7/5/2015</w:t>
                </w: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Karachi, Pakistan</w:t>
                </w:r>
              </w:p>
            </w:tc>
          </w:tr>
          <w:tr w:rsidR="00917757" w:rsidTr="00917757">
            <w:trPr>
              <w:trHeight w:val="642"/>
              <w:jc w:val="center"/>
            </w:trPr>
            <w:tc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11</w:t>
                </w:r>
              </w:p>
            </w:tc>
            <w:tc>
              <w:tcPr>
                <w:tcW w:w="15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Albaraka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(Pakistan) Ltd</w:t>
                </w:r>
              </w:p>
            </w:tc>
            <w:tc>
              <w:tcPr>
                <w:tcW w:w="1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Burj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Ltd</w:t>
                </w:r>
              </w:p>
            </w:tc>
            <w:tc>
              <w:tcPr>
                <w:tcW w:w="7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11/1/2016</w:t>
                </w: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Karachi, Pakistan</w:t>
                </w:r>
              </w:p>
              <w:p w:rsidR="00A92E27" w:rsidRPr="00BB610A" w:rsidRDefault="00A92E27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</w:p>
            </w:tc>
          </w:tr>
          <w:tr w:rsidR="00917757" w:rsidTr="00917757">
            <w:tr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trHeight w:val="482"/>
              <w:jc w:val="center"/>
            </w:trPr>
            <w:tc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b w:val="0"/>
                    <w:bCs w:val="0"/>
                    <w:color w:val="auto"/>
                  </w:rPr>
                  <w:t>12</w:t>
                </w:r>
              </w:p>
            </w:tc>
            <w:tc>
              <w:tcPr>
                <w:tcW w:w="15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b w:val="0"/>
                    <w:bCs w:val="0"/>
                    <w:color w:val="auto"/>
                  </w:rPr>
                  <w:t>Abu Dhabi Commercial Bank</w:t>
                </w:r>
              </w:p>
            </w:tc>
            <w:tc>
              <w:tcPr>
                <w:tcW w:w="13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b w:val="0"/>
                    <w:bCs w:val="0"/>
                    <w:color w:val="auto"/>
                  </w:rPr>
                  <w:t xml:space="preserve">Al </w:t>
                </w:r>
                <w:proofErr w:type="spellStart"/>
                <w:r w:rsidRPr="00BB610A">
                  <w:rPr>
                    <w:rFonts w:asciiTheme="majorBidi" w:hAnsiTheme="majorBidi" w:cstheme="majorBidi"/>
                    <w:b w:val="0"/>
                    <w:bCs w:val="0"/>
                    <w:color w:val="auto"/>
                  </w:rPr>
                  <w:t>Hilal</w:t>
                </w:r>
                <w:proofErr w:type="spellEnd"/>
                <w:r w:rsidRPr="00BB610A">
                  <w:rPr>
                    <w:rFonts w:asciiTheme="majorBidi" w:hAnsiTheme="majorBidi" w:cstheme="majorBidi"/>
                    <w:b w:val="0"/>
                    <w:bCs w:val="0"/>
                    <w:color w:val="auto"/>
                  </w:rPr>
                  <w:t xml:space="preserve">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b w:val="0"/>
                    <w:bCs w:val="0"/>
                    <w:color w:val="auto"/>
                  </w:rPr>
                  <w:t>Pjsc</w:t>
                </w:r>
                <w:proofErr w:type="spellEnd"/>
              </w:p>
            </w:tc>
            <w:tc>
              <w:tcPr>
                <w:tcW w:w="7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jc w:val="right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b w:val="0"/>
                    <w:bCs w:val="0"/>
                    <w:color w:val="auto"/>
                  </w:rPr>
                  <w:t>1/5/2019</w:t>
                </w:r>
              </w:p>
            </w:tc>
            <w:tc>
              <w:tcPr>
                <w:tcW w:w="9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ind w:firstLine="22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b w:val="0"/>
                    <w:bCs w:val="0"/>
                    <w:color w:val="auto"/>
                  </w:rPr>
                  <w:t>Abu Dhabi, UAE</w:t>
                </w:r>
              </w:p>
            </w:tc>
          </w:tr>
        </w:tbl>
        <w:p w:rsidR="00A92E27" w:rsidRPr="00A34A0F" w:rsidRDefault="009578B4" w:rsidP="00A92E27">
          <w:pPr>
            <w:spacing w:line="276" w:lineRule="auto"/>
            <w:contextualSpacing/>
            <w:rPr>
              <w:rFonts w:asciiTheme="majorBidi" w:hAnsiTheme="majorBidi" w:cstheme="majorBidi"/>
              <w:i/>
              <w:iCs/>
            </w:rPr>
          </w:pPr>
          <w:r w:rsidRPr="00B26B56">
            <w:rPr>
              <w:rStyle w:val="SubtleEmphasis"/>
              <w:rFonts w:asciiTheme="majorBidi" w:hAnsiTheme="majorBidi" w:cstheme="majorBidi"/>
            </w:rPr>
            <w:t>Source:</w:t>
          </w:r>
          <w:r w:rsidRPr="00B26B56">
            <w:rPr>
              <w:rFonts w:asciiTheme="majorBidi" w:hAnsiTheme="majorBidi" w:cstheme="majorBidi"/>
            </w:rPr>
            <w:t xml:space="preserve"> </w:t>
          </w:r>
          <w:proofErr w:type="spellStart"/>
          <w:r w:rsidRPr="00B26B56">
            <w:rPr>
              <w:rFonts w:asciiTheme="majorBidi" w:hAnsiTheme="majorBidi" w:cstheme="majorBidi"/>
            </w:rPr>
            <w:t>BankFocus</w:t>
          </w:r>
          <w:proofErr w:type="spellEnd"/>
          <w:r w:rsidRPr="00B26B56">
            <w:rPr>
              <w:rFonts w:asciiTheme="majorBidi" w:hAnsiTheme="majorBidi" w:cstheme="majorBidi"/>
            </w:rPr>
            <w:t xml:space="preserve">, Bureau Van </w:t>
          </w:r>
          <w:proofErr w:type="spellStart"/>
          <w:r w:rsidRPr="00B26B56">
            <w:rPr>
              <w:rFonts w:asciiTheme="majorBidi" w:hAnsiTheme="majorBidi" w:cstheme="majorBidi"/>
            </w:rPr>
            <w:t>Dijk</w:t>
          </w:r>
          <w:proofErr w:type="spellEnd"/>
          <w:r w:rsidRPr="00B26B56">
            <w:rPr>
              <w:rFonts w:asciiTheme="majorBidi" w:hAnsiTheme="majorBidi" w:cstheme="majorBidi"/>
            </w:rPr>
            <w:t>, processed 2023</w:t>
          </w:r>
        </w:p>
      </w:sdtContent>
    </w:sdt>
    <w:p w:rsidR="00A92E27" w:rsidRDefault="00A92E27" w:rsidP="00A92E27">
      <w:pPr>
        <w:spacing w:line="276" w:lineRule="auto"/>
        <w:contextualSpacing/>
        <w:jc w:val="center"/>
        <w:rPr>
          <w:rFonts w:asciiTheme="majorBidi" w:eastAsiaTheme="minorEastAsia" w:hAnsiTheme="majorBidi" w:cstheme="majorBidi"/>
          <w:szCs w:val="20"/>
        </w:rPr>
      </w:pPr>
    </w:p>
    <w:bookmarkStart w:id="3" w:name="_Toc158243523" w:displacedByCustomXml="next"/>
    <w:bookmarkStart w:id="4" w:name="_Toc158243066" w:displacedByCustomXml="next"/>
    <w:sdt>
      <w:sdtPr>
        <w:rPr>
          <w:rFonts w:asciiTheme="majorBidi" w:eastAsiaTheme="minorEastAsia" w:hAnsiTheme="majorBidi" w:cstheme="majorBidi"/>
          <w:i w:val="0"/>
          <w:iCs w:val="0"/>
          <w:color w:val="auto"/>
          <w:kern w:val="2"/>
          <w:sz w:val="24"/>
          <w:szCs w:val="28"/>
          <w:highlight w:val="yellow"/>
          <w:lang w:val="ms" w:eastAsia="zh-CN"/>
        </w:rPr>
        <w:alias w:val="Klik disini untuk tabel"/>
        <w:tag w:val="tabel"/>
        <w:id w:val="39709994"/>
        <w:placeholder>
          <w:docPart w:val="FA518C6786A54464A3F01296A1549446"/>
        </w:placeholder>
        <w:docPartList>
          <w:docPartGallery w:val="Tables"/>
        </w:docPartList>
      </w:sdtPr>
      <w:sdtEndPr>
        <w:rPr>
          <w:rFonts w:eastAsia="SimSun"/>
          <w:sz w:val="18"/>
          <w:szCs w:val="18"/>
          <w:highlight w:val="none"/>
          <w:lang w:val="en-US"/>
        </w:rPr>
      </w:sdtEndPr>
      <w:sdtContent>
        <w:p w:rsidR="00A92E27" w:rsidRPr="00B26B56" w:rsidRDefault="009578B4" w:rsidP="00A92E27">
          <w:pPr>
            <w:pStyle w:val="Caption"/>
            <w:spacing w:after="0" w:line="276" w:lineRule="auto"/>
            <w:jc w:val="center"/>
            <w:rPr>
              <w:rFonts w:asciiTheme="majorBidi" w:eastAsiaTheme="minorEastAsia" w:hAnsiTheme="majorBidi" w:cstheme="majorBidi"/>
              <w:i w:val="0"/>
              <w:iCs w:val="0"/>
              <w:color w:val="auto"/>
              <w:sz w:val="24"/>
              <w:szCs w:val="28"/>
            </w:rPr>
          </w:pPr>
          <w:r>
            <w:rPr>
              <w:i w:val="0"/>
              <w:iCs w:val="0"/>
              <w:color w:val="auto"/>
              <w:sz w:val="24"/>
              <w:szCs w:val="24"/>
            </w:rPr>
            <w:t>Table</w:t>
          </w:r>
          <w:r w:rsidRPr="00B26B56">
            <w:rPr>
              <w:i w:val="0"/>
              <w:iCs w:val="0"/>
              <w:color w:val="auto"/>
              <w:sz w:val="24"/>
              <w:szCs w:val="24"/>
            </w:rPr>
            <w:fldChar w:fldCharType="begin"/>
          </w:r>
          <w:r w:rsidRPr="00B26B56">
            <w:rPr>
              <w:i w:val="0"/>
              <w:iCs w:val="0"/>
              <w:color w:val="auto"/>
              <w:sz w:val="24"/>
              <w:szCs w:val="24"/>
            </w:rPr>
            <w:instrText xml:space="preserve"> SEQ Tabel_Lampiran \* ARABIC </w:instrText>
          </w:r>
          <w:r w:rsidRPr="00B26B56">
            <w:rPr>
              <w:i w:val="0"/>
              <w:iCs w:val="0"/>
              <w:color w:val="auto"/>
              <w:sz w:val="24"/>
              <w:szCs w:val="24"/>
            </w:rPr>
            <w:fldChar w:fldCharType="separate"/>
          </w:r>
          <w:r>
            <w:rPr>
              <w:i w:val="0"/>
              <w:iCs w:val="0"/>
              <w:noProof/>
              <w:color w:val="auto"/>
              <w:sz w:val="24"/>
              <w:szCs w:val="24"/>
            </w:rPr>
            <w:t>2</w:t>
          </w:r>
          <w:r w:rsidRPr="00B26B56">
            <w:rPr>
              <w:i w:val="0"/>
              <w:iCs w:val="0"/>
              <w:color w:val="auto"/>
              <w:sz w:val="24"/>
              <w:szCs w:val="24"/>
            </w:rPr>
            <w:fldChar w:fldCharType="end"/>
          </w:r>
          <w:r w:rsidRPr="00B26B56">
            <w:rPr>
              <w:i w:val="0"/>
              <w:iCs w:val="0"/>
              <w:noProof/>
              <w:color w:val="auto"/>
              <w:sz w:val="24"/>
              <w:szCs w:val="24"/>
              <w:lang w:val="en-US"/>
            </w:rPr>
            <w:t>. Sample List of Conventional Banks</w:t>
          </w:r>
          <w:bookmarkEnd w:id="4"/>
          <w:bookmarkEnd w:id="3"/>
        </w:p>
        <w:tbl>
          <w:tblPr>
            <w:tblStyle w:val="LightShading-Accent1"/>
            <w:tblW w:w="5000" w:type="pct"/>
            <w:tblInd w:w="-5" w:type="dxa"/>
            <w:tblLayout w:type="fixed"/>
            <w:tblLook w:val="0660" w:firstRow="1" w:lastRow="1" w:firstColumn="0" w:lastColumn="0" w:noHBand="1" w:noVBand="1"/>
          </w:tblPr>
          <w:tblGrid>
            <w:gridCol w:w="940"/>
            <w:gridCol w:w="4357"/>
            <w:gridCol w:w="3995"/>
            <w:gridCol w:w="2268"/>
            <w:gridCol w:w="2388"/>
          </w:tblGrid>
          <w:tr w:rsidR="00917757" w:rsidTr="0091775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No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>
                  <w:rPr>
                    <w:rFonts w:asciiTheme="majorBidi" w:hAnsiTheme="majorBidi" w:cstheme="majorBidi"/>
                    <w:color w:val="auto"/>
                  </w:rPr>
                  <w:t>Bidder Banks / Acquirers (Bidder Banks)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>
                  <w:rPr>
                    <w:rFonts w:asciiTheme="majorBidi" w:hAnsiTheme="majorBidi" w:cstheme="majorBidi"/>
                    <w:color w:val="auto"/>
                  </w:rPr>
                  <w:t>Target Banks (Acquired Banks)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>
                  <w:rPr>
                    <w:rFonts w:asciiTheme="majorBidi" w:hAnsiTheme="majorBidi" w:cstheme="majorBidi"/>
                    <w:color w:val="auto"/>
                  </w:rPr>
                  <w:t>Agreement Date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>
                  <w:rPr>
                    <w:rFonts w:asciiTheme="majorBidi" w:hAnsiTheme="majorBidi" w:cstheme="majorBidi"/>
                    <w:color w:val="auto"/>
                  </w:rPr>
                  <w:t>Country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b/>
                    <w:bCs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b/>
                    <w:bCs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National Bank Of Bahrain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b/>
                    <w:bCs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Bahrain Islamic Banks BSC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b/>
                    <w:bCs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01/20/2020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b/>
                    <w:bCs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Bahrain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2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Saudi British Bank JSC, THE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Alawwal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(From The Royal Bank Of Scotland Group,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Banco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Stander)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06/16/2019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Riyadh, Saudi Arabia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3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First Abu Dhabi Bank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Bank Audi Egypt SAE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5/5/2021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Abu Dhabi, UAE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4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Saudi National Bank /National Commercial Bank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Samba Financial Group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12/4/2021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Saudi Arabia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5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Yevraziiski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Ao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/ Eurasian Bank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Bankpositive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Kazakhstan AQ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12/30/2015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Almaty, Kazakhstan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6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Kina Bank Ltd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Australia And New Zealand Banking Group (PNG)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Ltd's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Retail, Commercial And SME Banking Business In Papua New Guinea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09/23/2019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PORT MORESBY, Papua New Guinea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7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Bank Central Asia and BCA Finance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Rabobobank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International Indonesia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09/25/2020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Jakarta, Indonesia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8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Fortebank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AO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Kassa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Nova Bank / FREEDOM BANK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2/5/2019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Kazakhstan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9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DFCU Bank Ltd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Crane Bank Rwanda Ltd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2/19/2018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Uganda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10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American Bank Of Investments SA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National Bank Of Greece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4/7/2018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Albania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11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Agris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Tbk</w:t>
                </w:r>
                <w:proofErr w:type="spellEnd"/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Mitraniaga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Tbk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>, PT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08/23/2019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Indonesia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12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Bank Of Africa - Benin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Banque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De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l'Habitat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Du Benin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10/2/2018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Benin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13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Intesa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Sanpaolo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Albanisa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SHA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Veneto Banka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Sha</w:t>
                </w:r>
                <w:proofErr w:type="spellEnd"/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06/29/2017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Albania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14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Skye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Lc</w:t>
                </w:r>
                <w:proofErr w:type="spellEnd"/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Mainstreet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Ltd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10/31/2014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Nigeria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15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Arab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Bangking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Corporation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Bsc</w:t>
                </w:r>
                <w:proofErr w:type="spellEnd"/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Blom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Egypt SAE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11/8/2021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Egypt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16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Saudara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Tbk</w:t>
                </w:r>
                <w:proofErr w:type="spellEnd"/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Bank Woori Indonesia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12/30/2015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Bandung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17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Baiduri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Bhd</w:t>
                </w:r>
                <w:proofErr w:type="spellEnd"/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HSBC Holdings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Plc's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Retail And Commercial Banking Business In Brunei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11/11/2017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Brunei Darussalam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18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National Retirement Savings Bank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Sumtomo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Mitsui Indo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1/2/2019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Indonesia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lastRenderedPageBreak/>
                  <w:t>19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Expobank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Ooo</w:t>
                </w:r>
                <w:proofErr w:type="spellEnd"/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Aktsionernyi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Kommercheskii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Yapy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Kredi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Moskva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AO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25/20/2017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Turkey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20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Acecess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Nigeria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Diamond Bank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04/30/2019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Nigeria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21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Qazaqstan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Khalyq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Banki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AQ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Aktsionernyi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Kommercheskii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Tenge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10/7/2019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A92E27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22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Societe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Generale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De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Banque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Au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Liban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Sal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KBL Richelieu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Banque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Privee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,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Aparis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>, KBL Monaco Private Bankers SA,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10/7/2018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Lebanon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23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Al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Ahli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Bank Of Kuwait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Ksc</w:t>
                </w:r>
                <w:proofErr w:type="spellEnd"/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Piraeus Bank Egypt SAE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10/11/2015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Kuwait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24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Danamon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Indonesia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Bank Nusantara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Parahyangan</w:t>
                </w:r>
                <w:proofErr w:type="spellEnd"/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1/5/2019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Indonesia</w:t>
                </w:r>
              </w:p>
            </w:tc>
          </w:tr>
          <w:tr w:rsidR="00917757" w:rsidTr="00917757"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25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Bank Of Beirut Sal</w:t>
                </w:r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Fortuna </w:t>
                </w:r>
                <w:proofErr w:type="spellStart"/>
                <w:r w:rsidRPr="00BB610A">
                  <w:rPr>
                    <w:rFonts w:asciiTheme="majorBidi" w:hAnsiTheme="majorBidi" w:cstheme="majorBidi"/>
                    <w:color w:val="auto"/>
                  </w:rPr>
                  <w:t>Banque</w:t>
                </w:r>
                <w:proofErr w:type="spellEnd"/>
                <w:r w:rsidRPr="00BB610A">
                  <w:rPr>
                    <w:rFonts w:asciiTheme="majorBidi" w:hAnsiTheme="majorBidi" w:cstheme="majorBidi"/>
                    <w:color w:val="auto"/>
                  </w:rPr>
                  <w:t xml:space="preserve"> SC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6/11/2020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color w:val="auto"/>
                  </w:rPr>
                  <w:t>Lebanon</w:t>
                </w:r>
              </w:p>
            </w:tc>
          </w:tr>
          <w:tr w:rsidR="00917757" w:rsidTr="00917757">
            <w:tr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33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A92E27" w:rsidRPr="00BB610A" w:rsidRDefault="009578B4" w:rsidP="00A92E27">
                <w:pPr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b w:val="0"/>
                    <w:bCs w:val="0"/>
                    <w:color w:val="auto"/>
                  </w:rPr>
                  <w:t>26</w:t>
                </w:r>
              </w:p>
            </w:tc>
            <w:tc>
              <w:tcPr>
                <w:tcW w:w="15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b w:val="0"/>
                    <w:bCs w:val="0"/>
                    <w:color w:val="auto"/>
                  </w:rPr>
                  <w:t xml:space="preserve">MCB Bank </w:t>
                </w:r>
                <w:proofErr w:type="spellStart"/>
                <w:r w:rsidRPr="00BB610A">
                  <w:rPr>
                    <w:rFonts w:asciiTheme="majorBidi" w:hAnsiTheme="majorBidi" w:cstheme="majorBidi"/>
                    <w:b w:val="0"/>
                    <w:bCs w:val="0"/>
                    <w:color w:val="auto"/>
                  </w:rPr>
                  <w:t>Lmts</w:t>
                </w:r>
                <w:proofErr w:type="spellEnd"/>
              </w:p>
            </w:tc>
            <w:tc>
              <w:tcPr>
                <w:tcW w:w="14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b w:val="0"/>
                    <w:bCs w:val="0"/>
                    <w:color w:val="auto"/>
                  </w:rPr>
                  <w:t>NIB Bank Ltd</w:t>
                </w:r>
              </w:p>
            </w:tc>
            <w:tc>
              <w:tcPr>
                <w:tcW w:w="8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tabs>
                    <w:tab w:val="right" w:pos="47"/>
                  </w:tabs>
                  <w:spacing w:after="0"/>
                  <w:ind w:left="-108" w:firstLine="108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b w:val="0"/>
                    <w:bCs w:val="0"/>
                    <w:color w:val="auto"/>
                  </w:rPr>
                  <w:t>7/7/2017</w:t>
                </w:r>
              </w:p>
            </w:tc>
            <w:tc>
              <w:tcPr>
                <w:tcW w:w="8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2E27" w:rsidRPr="00BB610A" w:rsidRDefault="009578B4" w:rsidP="00A92E27">
                <w:pPr>
                  <w:pStyle w:val="DecimalAligned"/>
                  <w:spacing w:after="0"/>
                  <w:contextualSpacing/>
                  <w:rPr>
                    <w:rFonts w:asciiTheme="majorBidi" w:hAnsiTheme="majorBidi" w:cstheme="majorBidi"/>
                    <w:color w:val="auto"/>
                  </w:rPr>
                </w:pPr>
                <w:r w:rsidRPr="00BB610A">
                  <w:rPr>
                    <w:rFonts w:asciiTheme="majorBidi" w:hAnsiTheme="majorBidi" w:cstheme="majorBidi"/>
                    <w:b w:val="0"/>
                    <w:bCs w:val="0"/>
                    <w:color w:val="auto"/>
                  </w:rPr>
                  <w:t>Pakistan</w:t>
                </w:r>
              </w:p>
            </w:tc>
          </w:tr>
        </w:tbl>
        <w:p w:rsidR="00A92E27" w:rsidRPr="00C417AD" w:rsidRDefault="009578B4" w:rsidP="00A92E27">
          <w:pPr>
            <w:pStyle w:val="FootnoteText"/>
            <w:spacing w:line="276" w:lineRule="auto"/>
            <w:contextualSpacing/>
          </w:pPr>
          <w:proofErr w:type="spellStart"/>
          <w:r w:rsidRPr="00B26B56">
            <w:rPr>
              <w:rStyle w:val="SubtleEmphasis"/>
              <w:rFonts w:asciiTheme="majorBidi" w:hAnsiTheme="majorBidi" w:cstheme="majorBidi"/>
              <w:sz w:val="20"/>
              <w:szCs w:val="20"/>
            </w:rPr>
            <w:t>Source</w:t>
          </w:r>
          <w:proofErr w:type="gramStart"/>
          <w:r w:rsidRPr="00B26B56">
            <w:rPr>
              <w:rStyle w:val="SubtleEmphasis"/>
              <w:rFonts w:asciiTheme="majorBidi" w:hAnsiTheme="majorBidi" w:cstheme="majorBidi"/>
              <w:sz w:val="20"/>
              <w:szCs w:val="20"/>
            </w:rPr>
            <w:t>:</w:t>
          </w:r>
          <w:r w:rsidRPr="00B26B56">
            <w:rPr>
              <w:rFonts w:asciiTheme="majorBidi" w:hAnsiTheme="majorBidi" w:cstheme="majorBidi"/>
              <w:sz w:val="20"/>
              <w:szCs w:val="20"/>
            </w:rPr>
            <w:t>BankFocus</w:t>
          </w:r>
          <w:proofErr w:type="spellEnd"/>
          <w:proofErr w:type="gramEnd"/>
          <w:r w:rsidRPr="00B26B56">
            <w:rPr>
              <w:rFonts w:asciiTheme="majorBidi" w:hAnsiTheme="majorBidi" w:cstheme="majorBidi"/>
              <w:sz w:val="20"/>
              <w:szCs w:val="20"/>
            </w:rPr>
            <w:t xml:space="preserve">, Bureau Van </w:t>
          </w:r>
          <w:proofErr w:type="spellStart"/>
          <w:r w:rsidRPr="00B26B56">
            <w:rPr>
              <w:rFonts w:asciiTheme="majorBidi" w:hAnsiTheme="majorBidi" w:cstheme="majorBidi"/>
              <w:sz w:val="20"/>
              <w:szCs w:val="20"/>
            </w:rPr>
            <w:t>Dijk</w:t>
          </w:r>
          <w:proofErr w:type="spellEnd"/>
          <w:r w:rsidRPr="00B26B56">
            <w:rPr>
              <w:rFonts w:asciiTheme="majorBidi" w:hAnsiTheme="majorBidi" w:cstheme="majorBidi"/>
              <w:sz w:val="20"/>
              <w:szCs w:val="20"/>
            </w:rPr>
            <w:t>, processed 2023</w:t>
          </w:r>
        </w:p>
      </w:sdtContent>
    </w:sdt>
    <w:p w:rsidR="00EF7918" w:rsidRDefault="00EF7918"/>
    <w:p w:rsidR="00A92E27" w:rsidRDefault="00A92E27"/>
    <w:p w:rsidR="00A92E27" w:rsidRDefault="009578B4" w:rsidP="00A92E27">
      <w:pPr>
        <w:pStyle w:val="ListParagraph"/>
        <w:numPr>
          <w:ilvl w:val="0"/>
          <w:numId w:val="1"/>
        </w:numPr>
      </w:pPr>
      <w:r>
        <w:t>Islamic Bank Analysis Data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ROA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ROE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ROE-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preB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RESIZE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0.997363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0.084236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17.44825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330.1378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15.5272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26.46961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11.04546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160.0407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0.584063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3.251516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5.385511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0.672248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0.594405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1.047549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0.703966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16.00754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2.258072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3.298091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1.694869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26.87441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1.259425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8.382062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10.13548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0.680261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1.881383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0.447722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69.14094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0.757265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0.117796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7.555434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1.353853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18.36986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1.549678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13.6847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18.5263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0.204475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0.13762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0.926082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28.99128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10.90685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2.63857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8.018718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1.74139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21.57076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1.432817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14.83304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12.12823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2.07727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0.806507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1.247416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8.894742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26.24424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26.90277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38.26789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3.981193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48.98684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0.797951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14.55986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16.30677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759.3127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0.097598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0.223077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6.084792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106.6743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54.80376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63.69195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5.635041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5.147668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0.797951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5.807465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15.18314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0.019319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1.395087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0.182263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8.850637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71.47833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48.07155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58.92923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8.534344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42.87444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0.160722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5.114661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1.645965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35.03568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0.100357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4.513037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72.43004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216,935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0.772605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38.6374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2.102458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43.81321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0.210253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1.981919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11.21435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0.287864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0.552036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2.81907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1.952667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57.64714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18.46877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45.03561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4.664395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5.392145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0.584289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4.773869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-1.73752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1.283279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1.418961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0.741748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67.53398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19.02872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22.12484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15.42763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4.909841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8.585109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0.553274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8.520041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8.339582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0.694655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1.465839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1.597554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3.709969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8.906197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3.744775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35.26857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6.874852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10.17835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-0.31224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-3.5161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3.949979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0.392149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0.316107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6.785411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1.154418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2.624577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4.836527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30.72629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1.923931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21.34967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0.933261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7.598061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16.90764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0.155972</w:t>
            </w:r>
          </w:p>
        </w:tc>
      </w:tr>
    </w:tbl>
    <w:p w:rsidR="009578B4" w:rsidRDefault="009578B4" w:rsidP="009578B4">
      <w:pPr>
        <w:pStyle w:val="ListParagraph"/>
      </w:pPr>
    </w:p>
    <w:p w:rsidR="009578B4" w:rsidRDefault="009578B4" w:rsidP="009578B4">
      <w:pPr>
        <w:pStyle w:val="ListParagraph"/>
      </w:pPr>
    </w:p>
    <w:p w:rsidR="00A92E27" w:rsidRDefault="009578B4" w:rsidP="00A92E27">
      <w:pPr>
        <w:pStyle w:val="ListParagraph"/>
        <w:numPr>
          <w:ilvl w:val="0"/>
          <w:numId w:val="1"/>
        </w:numPr>
      </w:pPr>
      <w:r>
        <w:lastRenderedPageBreak/>
        <w:t>Conventional Bank Analysis Data</w:t>
      </w:r>
    </w:p>
    <w:p w:rsidR="00A92E27" w:rsidRDefault="00A92E27" w:rsidP="00A92E27">
      <w:pPr>
        <w:pStyle w:val="ListParagraph"/>
      </w:pPr>
    </w:p>
    <w:tbl>
      <w:tblPr>
        <w:tblW w:w="12960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ROA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ROE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ROE-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preB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RESIZE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0.215338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2.922027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19.08413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35.16636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25.69401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26.54693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6.780015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22.00816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1.236372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10.36172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14.72076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0.383021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0.013266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13.34925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41.94305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7.314887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7.263428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40.37705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1.752164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40.67053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-1.53662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-7.80113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8.170956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0.4696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0.811348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5.826276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19.17499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43.94016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29.8216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10.38109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1.939058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34.83542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2.370144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20.97325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11.15545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0.669712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0.386898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5.69937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8.282019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8.172338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5.2949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20.73044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4.501994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29.68717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2.014239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12.40846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17.46796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0.495369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0.552736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44.1093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15.99838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122.3501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5.300481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12.47428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59.28568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57.26125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0.03998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0.457368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18.20406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0.0206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5.624503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18.46719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1.693223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82.92571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40.12945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24.6709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25.81564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90.27579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0.353658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5.861202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10.83052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0.000735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6.68021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5.49508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157,012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1788.047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12.23149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8.825856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8,255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153.6694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2.729281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16.22451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17.53315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2.513853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1.762514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2.28719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79.41463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5.678507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16.35835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2.350229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1,031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9.723128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2.546719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21.51689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14.7442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0.077239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3.723719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4.796096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24.06098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12.45073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9.862991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7.473516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4.091456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2.553129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14.28706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34.87751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0.597267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0.350411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0.82328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44.30989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55.06141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32.86574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18.07358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10,438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2.820941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0.96294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8.005138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17.49291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0.963477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0.07183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11.37295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28.08228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43.50402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32.86704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82.59449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3,649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43.07903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-2.17331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-11.4015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-5.67425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0.557283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1.328005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8.371225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15.60745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13.63246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35.57161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20.40027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4.125385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1.683882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18.12397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16.88767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0.023429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0.375228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122.8105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71.48717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5.578483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6.615996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24.28647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2,048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34.60638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0.518533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4.222034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11.72622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0.176752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1.473424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7.897205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14.40927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31.66281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31.96684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44.52202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12,036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0.443343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-3.10825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-34.4495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16.23689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0.295509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0.034792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16.29936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48.32747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59.09294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21.97464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45.7187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2,263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24.65044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0.584289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4.773869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-1.73752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1.446173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1.732631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21.18838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1.264333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31.60149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9.36237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44.59828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0.800403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1.452825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7.249005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4.973608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352.0252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0.95811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5.755393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0.07497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9.92054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12.49081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35.29746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22.55999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0.591548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8.124476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1.813226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0.001713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2.746123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21.86643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17.98945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125.8514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7.160039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16.8798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7,594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5.65051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1.099612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6.225265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11.82681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0.868358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0.395744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47.22164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22.58108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66.21238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28.4344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15.13733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2,786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31.39426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3.596347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15.33154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25.09165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3.767715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0.470582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8.873902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9.72159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5.97625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1.08077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30.42873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7,835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32.39015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1.339952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15.61514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18.96385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0.277401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0.902482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94.0724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9.387412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36.73793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40.71736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50.36218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46.13343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3.594368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25.18516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25.34179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0.000276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8.131141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3.315065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1.210566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48.88444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18.71925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1.621987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33,139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38.00642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-0.61275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-8.20217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12.47556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0.007726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0.335307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31.10575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141.7197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14.1577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5.230163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33.35669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8.148008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0.758773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5.846105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6.838916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25.51835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1.311716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13.79472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15.00042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35.4236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3.375435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21.90029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6.105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17.78305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0.552168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2.447266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10.12691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43.95248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0.221486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83.48085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39.08611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46.95295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49.63602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116.6099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9,055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23.5423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3.053042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51.33177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-13.8149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15.08571</w:t>
            </w:r>
          </w:p>
        </w:tc>
      </w:tr>
      <w:tr w:rsidR="00917757" w:rsidTr="00A92E27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0.36767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24.82057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0.24382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64.97326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1.950919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3.186024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5,847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18.35549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1.372594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13.26245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15.39141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27" w:rsidRPr="00A92E27" w:rsidRDefault="009578B4" w:rsidP="00A92E2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92E2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0.226569</w:t>
            </w:r>
          </w:p>
        </w:tc>
      </w:tr>
    </w:tbl>
    <w:p w:rsidR="00A92E27" w:rsidRDefault="00A92E27" w:rsidP="00A92E27">
      <w:pPr>
        <w:pStyle w:val="ListParagraph"/>
      </w:pPr>
    </w:p>
    <w:p w:rsidR="00A92E27" w:rsidRDefault="009578B4" w:rsidP="00A92E27">
      <w:pPr>
        <w:pStyle w:val="ListParagraph"/>
        <w:numPr>
          <w:ilvl w:val="0"/>
          <w:numId w:val="1"/>
        </w:numPr>
      </w:pPr>
      <w:r>
        <w:t>Bootstrapping Second Order</w:t>
      </w:r>
    </w:p>
    <w:p w:rsidR="00A92E27" w:rsidRDefault="00A92E27" w:rsidP="00A92E27">
      <w:pPr>
        <w:pStyle w:val="ListParagraph"/>
      </w:pPr>
    </w:p>
    <w:p w:rsidR="00A92E27" w:rsidRDefault="009578B4" w:rsidP="00A92E27">
      <w:pPr>
        <w:pStyle w:val="ListParagraph"/>
        <w:numPr>
          <w:ilvl w:val="0"/>
          <w:numId w:val="1"/>
        </w:numPr>
      </w:pPr>
      <w:r w:rsidRPr="00B560FC">
        <w:rPr>
          <w:rStyle w:val="SubtleEmphasis"/>
          <w:rFonts w:asciiTheme="majorBidi" w:hAnsiTheme="majorBidi" w:cstheme="majorBidi"/>
          <w:i w:val="0"/>
          <w:iCs w:val="0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67</wp:posOffset>
            </wp:positionV>
            <wp:extent cx="4817110" cy="3454400"/>
            <wp:effectExtent l="0" t="0" r="2540" b="0"/>
            <wp:wrapTopAndBottom/>
            <wp:docPr id="5" name="Picture 5" descr="C:\Users\Lenovo\AppData\Local\Temp\image13902618095215913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:\Users\Lenovo\AppData\Local\Temp\image139026180952159132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11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AVE, CR, CA</w:t>
      </w:r>
    </w:p>
    <w:bookmarkStart w:id="5" w:name="_Toc158242886" w:displacedByCustomXml="next"/>
    <w:sdt>
      <w:sdtPr>
        <w:rPr>
          <w:rFonts w:eastAsiaTheme="minorEastAsia"/>
          <w:i w:val="0"/>
          <w:iCs w:val="0"/>
          <w:color w:val="auto"/>
          <w:sz w:val="24"/>
          <w:szCs w:val="24"/>
          <w:highlight w:val="yellow"/>
        </w:rPr>
        <w:alias w:val="Klik disini untuk tabel"/>
        <w:tag w:val="tabel"/>
        <w:id w:val="1489520692"/>
        <w:placeholder>
          <w:docPart w:val="17DE0037510144558BE7A50D71F8E0D6"/>
        </w:placeholder>
        <w:docPartList>
          <w:docPartGallery w:val="Tables"/>
        </w:docPartList>
      </w:sdtPr>
      <w:sdtEndPr>
        <w:rPr>
          <w:rFonts w:eastAsia="Times New Roman"/>
          <w:highlight w:val="none"/>
        </w:rPr>
      </w:sdtEndPr>
      <w:sdtContent>
        <w:bookmarkEnd w:id="5" w:displacedByCustomXml="prev"/>
        <w:p w:rsidR="00A92E27" w:rsidRPr="009C47D5" w:rsidRDefault="00A92E27" w:rsidP="009578B4">
          <w:pPr>
            <w:pStyle w:val="Caption"/>
            <w:spacing w:after="0" w:line="276" w:lineRule="auto"/>
          </w:pP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2054"/>
            <w:gridCol w:w="1267"/>
            <w:gridCol w:w="1584"/>
            <w:gridCol w:w="1584"/>
            <w:gridCol w:w="1425"/>
          </w:tblGrid>
          <w:tr w:rsidR="00917757" w:rsidTr="00A92E27">
            <w:trPr>
              <w:trHeight w:val="258"/>
            </w:trPr>
            <w:tc>
              <w:tcPr>
                <w:tcW w:w="2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A92E27" w:rsidP="00A92E27">
                <w:pPr>
                  <w:spacing w:line="276" w:lineRule="auto"/>
                </w:pPr>
              </w:p>
            </w:tc>
            <w:tc>
              <w:tcPr>
                <w:tcW w:w="12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center"/>
                </w:pPr>
                <w:proofErr w:type="spellStart"/>
                <w:r w:rsidRPr="009C47D5">
                  <w:t>Cronbach's</w:t>
                </w:r>
                <w:proofErr w:type="spellEnd"/>
                <w:r w:rsidRPr="009C47D5">
                  <w:t xml:space="preserve"> alpha</w:t>
                </w:r>
              </w:p>
            </w:tc>
            <w:tc>
              <w:tcPr>
                <w:tcW w:w="15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center"/>
                </w:pPr>
                <w:r w:rsidRPr="009C47D5">
                  <w:t>Composite reliability (</w:t>
                </w:r>
                <w:proofErr w:type="spellStart"/>
                <w:r w:rsidRPr="009C47D5">
                  <w:t>rho_a</w:t>
                </w:r>
                <w:proofErr w:type="spellEnd"/>
                <w:r w:rsidRPr="009C47D5">
                  <w:t>)</w:t>
                </w:r>
              </w:p>
            </w:tc>
            <w:tc>
              <w:tcPr>
                <w:tcW w:w="15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center"/>
                </w:pPr>
                <w:r w:rsidRPr="009C47D5">
                  <w:t>Composite reliability (</w:t>
                </w:r>
                <w:proofErr w:type="spellStart"/>
                <w:r w:rsidRPr="009C47D5">
                  <w:t>rho_c</w:t>
                </w:r>
                <w:proofErr w:type="spellEnd"/>
                <w:r w:rsidRPr="009C47D5">
                  <w:t>)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center"/>
                </w:pPr>
                <w:r w:rsidRPr="009C47D5">
                  <w:t>Average variance extracted (AVE)</w:t>
                </w:r>
              </w:p>
            </w:tc>
          </w:tr>
          <w:tr w:rsidR="00917757" w:rsidTr="00A92E27">
            <w:trPr>
              <w:trHeight w:val="258"/>
            </w:trPr>
            <w:tc>
              <w:tcPr>
                <w:tcW w:w="205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</w:pPr>
                <w:r w:rsidRPr="009C47D5">
                  <w:t>M&amp;A success</w:t>
                </w:r>
              </w:p>
            </w:tc>
            <w:tc>
              <w:tcPr>
                <w:tcW w:w="12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right"/>
                </w:pPr>
                <w:r w:rsidRPr="009C47D5">
                  <w:t>0.936</w:t>
                </w:r>
              </w:p>
            </w:tc>
            <w:tc>
              <w:tcPr>
                <w:tcW w:w="15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right"/>
                </w:pPr>
                <w:r w:rsidRPr="009C47D5">
                  <w:t>13,077</w:t>
                </w:r>
              </w:p>
            </w:tc>
            <w:tc>
              <w:tcPr>
                <w:tcW w:w="15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right"/>
                </w:pPr>
                <w:r w:rsidRPr="009C47D5">
                  <w:t>0.946</w:t>
                </w:r>
              </w:p>
            </w:tc>
            <w:tc>
              <w:tcPr>
                <w:tcW w:w="1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right"/>
                </w:pPr>
                <w:r w:rsidRPr="009C47D5">
                  <w:t>0.898</w:t>
                </w:r>
              </w:p>
            </w:tc>
          </w:tr>
          <w:tr w:rsidR="00917757" w:rsidTr="00A92E27">
            <w:trPr>
              <w:trHeight w:val="258"/>
            </w:trPr>
            <w:tc>
              <w:tcPr>
                <w:tcW w:w="205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</w:pPr>
                <w:r w:rsidRPr="009C47D5">
                  <w:t>S2</w:t>
                </w:r>
              </w:p>
            </w:tc>
            <w:tc>
              <w:tcPr>
                <w:tcW w:w="12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right"/>
                </w:pPr>
                <w:r w:rsidRPr="009C47D5">
                  <w:t>0.712</w:t>
                </w:r>
              </w:p>
            </w:tc>
            <w:tc>
              <w:tcPr>
                <w:tcW w:w="15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right"/>
                </w:pPr>
                <w:r w:rsidRPr="009C47D5">
                  <w:t>1,078</w:t>
                </w:r>
              </w:p>
            </w:tc>
            <w:tc>
              <w:tcPr>
                <w:tcW w:w="15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right"/>
                </w:pPr>
                <w:r w:rsidRPr="009C47D5">
                  <w:t>0.857</w:t>
                </w:r>
              </w:p>
            </w:tc>
            <w:tc>
              <w:tcPr>
                <w:tcW w:w="1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right"/>
                </w:pPr>
                <w:r w:rsidRPr="009C47D5">
                  <w:t>0.753</w:t>
                </w:r>
              </w:p>
            </w:tc>
          </w:tr>
          <w:tr w:rsidR="00917757" w:rsidTr="00A92E27">
            <w:trPr>
              <w:trHeight w:val="258"/>
            </w:trPr>
            <w:tc>
              <w:tcPr>
                <w:tcW w:w="205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</w:pPr>
                <w:r w:rsidRPr="009C47D5">
                  <w:t>Similarity Strategy</w:t>
                </w:r>
              </w:p>
            </w:tc>
            <w:tc>
              <w:tcPr>
                <w:tcW w:w="12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right"/>
                </w:pPr>
                <w:r w:rsidRPr="009C47D5">
                  <w:t>0.755</w:t>
                </w:r>
              </w:p>
            </w:tc>
            <w:tc>
              <w:tcPr>
                <w:tcW w:w="15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right"/>
                </w:pPr>
                <w:r w:rsidRPr="009C47D5">
                  <w:t>0.764</w:t>
                </w:r>
              </w:p>
            </w:tc>
            <w:tc>
              <w:tcPr>
                <w:tcW w:w="15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right"/>
                </w:pPr>
                <w:r w:rsidRPr="009C47D5">
                  <w:t>0.861</w:t>
                </w:r>
              </w:p>
            </w:tc>
            <w:tc>
              <w:tcPr>
                <w:tcW w:w="1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9C47D5" w:rsidRDefault="009578B4" w:rsidP="00A92E27">
                <w:pPr>
                  <w:spacing w:line="276" w:lineRule="auto"/>
                  <w:jc w:val="right"/>
                </w:pPr>
                <w:r w:rsidRPr="009C47D5">
                  <w:t>0.675</w:t>
                </w:r>
              </w:p>
            </w:tc>
          </w:tr>
        </w:tbl>
        <w:p w:rsidR="00A92E27" w:rsidRPr="009C47D5" w:rsidRDefault="009578B4" w:rsidP="00A92E27">
          <w:pPr>
            <w:spacing w:line="276" w:lineRule="auto"/>
            <w:contextualSpacing/>
          </w:pPr>
          <w:r w:rsidRPr="009C47D5">
            <w:t xml:space="preserve">Source: </w:t>
          </w:r>
          <w:proofErr w:type="spellStart"/>
          <w:r w:rsidRPr="009C47D5">
            <w:t>SmartPLS</w:t>
          </w:r>
          <w:proofErr w:type="spellEnd"/>
          <w:r w:rsidRPr="009C47D5">
            <w:t xml:space="preserve"> 4 output, processed 2024</w:t>
          </w:r>
        </w:p>
      </w:sdtContent>
    </w:sdt>
    <w:p w:rsidR="00A92E27" w:rsidRDefault="009578B4" w:rsidP="00A92E27">
      <w:pPr>
        <w:pStyle w:val="ListParagraph"/>
        <w:numPr>
          <w:ilvl w:val="0"/>
          <w:numId w:val="1"/>
        </w:numPr>
      </w:pPr>
      <w:r>
        <w:lastRenderedPageBreak/>
        <w:t>R-Square</w:t>
      </w:r>
    </w:p>
    <w:bookmarkStart w:id="6" w:name="_Toc158242890" w:displacedByCustomXml="next"/>
    <w:sdt>
      <w:sdtPr>
        <w:rPr>
          <w:rFonts w:asciiTheme="majorBidi" w:eastAsiaTheme="minorEastAsia" w:hAnsiTheme="majorBidi" w:cstheme="majorBidi"/>
          <w:i w:val="0"/>
          <w:iCs w:val="0"/>
          <w:color w:val="auto"/>
          <w:sz w:val="24"/>
          <w:szCs w:val="28"/>
          <w:highlight w:val="yellow"/>
        </w:rPr>
        <w:alias w:val="Klik disini untuk tabel"/>
        <w:tag w:val="tabel"/>
        <w:id w:val="317927083"/>
        <w:placeholder>
          <w:docPart w:val="42DF520F8C9D4E53BC1B0FA44D814CD1"/>
        </w:placeholder>
        <w:docPartList>
          <w:docPartGallery w:val="Tables"/>
        </w:docPartList>
      </w:sdtPr>
      <w:sdtEndPr>
        <w:rPr>
          <w:rFonts w:ascii="Times New Roman" w:eastAsia="Times New Roman" w:hAnsi="Times New Roman" w:cs="Times New Roman"/>
          <w:sz w:val="22"/>
          <w:szCs w:val="24"/>
          <w:highlight w:val="none"/>
        </w:rPr>
      </w:sdtEndPr>
      <w:sdtContent>
        <w:bookmarkEnd w:id="6" w:displacedByCustomXml="prev"/>
        <w:p w:rsidR="00A92E27" w:rsidRPr="00433871" w:rsidRDefault="00A92E27" w:rsidP="00A92E27">
          <w:pPr>
            <w:pStyle w:val="Caption"/>
            <w:spacing w:after="0" w:line="276" w:lineRule="auto"/>
            <w:ind w:left="5760" w:firstLine="720"/>
            <w:rPr>
              <w:rStyle w:val="SubtleEmphasis"/>
              <w:rFonts w:asciiTheme="majorBidi" w:hAnsiTheme="majorBidi" w:cstheme="majorBidi"/>
              <w:i/>
              <w:iCs/>
              <w:color w:val="auto"/>
              <w:sz w:val="24"/>
              <w:szCs w:val="24"/>
            </w:rPr>
          </w:pPr>
        </w:p>
        <w:tbl>
          <w:tblPr>
            <w:tblW w:w="4753" w:type="dxa"/>
            <w:jc w:val="center"/>
            <w:tblLook w:val="04A0" w:firstRow="1" w:lastRow="0" w:firstColumn="1" w:lastColumn="0" w:noHBand="0" w:noVBand="1"/>
          </w:tblPr>
          <w:tblGrid>
            <w:gridCol w:w="1853"/>
            <w:gridCol w:w="1380"/>
            <w:gridCol w:w="1520"/>
          </w:tblGrid>
          <w:tr w:rsidR="00917757" w:rsidTr="00A92E27">
            <w:trPr>
              <w:trHeight w:val="285"/>
              <w:jc w:val="center"/>
            </w:trPr>
            <w:tc>
              <w:tcPr>
                <w:tcW w:w="1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6107CE" w:rsidRDefault="00A92E27" w:rsidP="00A92E27">
                <w:pPr>
                  <w:spacing w:line="276" w:lineRule="auto"/>
                  <w:rPr>
                    <w:rFonts w:asciiTheme="majorBidi" w:hAnsiTheme="majorBidi" w:cstheme="majorBidi"/>
                    <w:color w:val="000000"/>
                  </w:rPr>
                </w:pPr>
              </w:p>
            </w:tc>
            <w:tc>
              <w:tcPr>
                <w:tcW w:w="13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6107CE" w:rsidRDefault="009578B4" w:rsidP="00A92E27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000000"/>
                  </w:rPr>
                </w:pPr>
                <w:r w:rsidRPr="006107CE">
                  <w:rPr>
                    <w:rFonts w:asciiTheme="majorBidi" w:hAnsiTheme="majorBidi" w:cstheme="majorBidi"/>
                    <w:color w:val="000000"/>
                  </w:rPr>
                  <w:t>R-square</w:t>
                </w:r>
              </w:p>
            </w:tc>
            <w:tc>
              <w:tcPr>
                <w:tcW w:w="15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6107CE" w:rsidRDefault="009578B4" w:rsidP="00A92E27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color w:val="000000"/>
                  </w:rPr>
                </w:pPr>
                <w:r w:rsidRPr="006107CE">
                  <w:rPr>
                    <w:rFonts w:asciiTheme="majorBidi" w:hAnsiTheme="majorBidi" w:cstheme="majorBidi"/>
                    <w:color w:val="000000"/>
                  </w:rPr>
                  <w:t>R-square adjusted</w:t>
                </w:r>
              </w:p>
            </w:tc>
          </w:tr>
          <w:tr w:rsidR="00917757" w:rsidTr="00A92E27">
            <w:trPr>
              <w:trHeight w:val="285"/>
              <w:jc w:val="center"/>
            </w:trPr>
            <w:tc>
              <w:tcPr>
                <w:tcW w:w="18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6107CE" w:rsidRDefault="009578B4" w:rsidP="00A92E27">
                <w:pPr>
                  <w:spacing w:line="276" w:lineRule="auto"/>
                  <w:rPr>
                    <w:rFonts w:asciiTheme="majorBidi" w:hAnsiTheme="majorBidi" w:cstheme="majorBidi"/>
                    <w:color w:val="000000"/>
                  </w:rPr>
                </w:pPr>
                <w:r w:rsidRPr="006107CE">
                  <w:rPr>
                    <w:rFonts w:asciiTheme="majorBidi" w:hAnsiTheme="majorBidi" w:cstheme="majorBidi"/>
                    <w:color w:val="000000"/>
                  </w:rPr>
                  <w:t>M&amp;A success</w:t>
                </w:r>
              </w:p>
            </w:tc>
            <w:tc>
              <w:tcPr>
                <w:tcW w:w="13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6107CE" w:rsidRDefault="009578B4" w:rsidP="00A92E27">
                <w:pPr>
                  <w:spacing w:line="276" w:lineRule="auto"/>
                  <w:jc w:val="right"/>
                  <w:rPr>
                    <w:rFonts w:asciiTheme="majorBidi" w:hAnsiTheme="majorBidi" w:cstheme="majorBidi"/>
                    <w:color w:val="000000"/>
                  </w:rPr>
                </w:pPr>
                <w:r w:rsidRPr="006107CE">
                  <w:rPr>
                    <w:rFonts w:asciiTheme="majorBidi" w:hAnsiTheme="majorBidi" w:cstheme="majorBidi"/>
                    <w:color w:val="000000"/>
                  </w:rPr>
                  <w:t>0.111</w:t>
                </w:r>
              </w:p>
            </w:tc>
            <w:tc>
              <w:tcPr>
                <w:tcW w:w="15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A92E27" w:rsidRPr="006107CE" w:rsidRDefault="009578B4" w:rsidP="00A92E27">
                <w:pPr>
                  <w:spacing w:line="276" w:lineRule="auto"/>
                  <w:jc w:val="right"/>
                  <w:rPr>
                    <w:rFonts w:asciiTheme="majorBidi" w:hAnsiTheme="majorBidi" w:cstheme="majorBidi"/>
                    <w:color w:val="000000"/>
                  </w:rPr>
                </w:pPr>
                <w:r w:rsidRPr="006107CE">
                  <w:rPr>
                    <w:rFonts w:asciiTheme="majorBidi" w:hAnsiTheme="majorBidi" w:cstheme="majorBidi"/>
                    <w:color w:val="000000"/>
                  </w:rPr>
                  <w:t>0.033</w:t>
                </w:r>
              </w:p>
            </w:tc>
          </w:tr>
        </w:tbl>
        <w:p w:rsidR="00A92E27" w:rsidRPr="00A92E27" w:rsidRDefault="009578B4" w:rsidP="00A92E27">
          <w:pPr>
            <w:spacing w:line="276" w:lineRule="auto"/>
            <w:ind w:left="3600" w:firstLine="720"/>
            <w:rPr>
              <w:sz w:val="20"/>
              <w:szCs w:val="20"/>
            </w:rPr>
          </w:pPr>
          <w:r w:rsidRPr="00A92E27">
            <w:rPr>
              <w:rStyle w:val="SubtleEmphasis"/>
              <w:rFonts w:asciiTheme="majorBidi" w:hAnsiTheme="majorBidi" w:cstheme="majorBidi"/>
              <w:sz w:val="20"/>
              <w:szCs w:val="20"/>
            </w:rPr>
            <w:t>Source:</w:t>
          </w:r>
          <w:r w:rsidRPr="00A92E27">
            <w:rPr>
              <w:rFonts w:asciiTheme="majorBidi" w:hAnsiTheme="majorBidi" w:cstheme="majorBidi"/>
              <w:sz w:val="20"/>
              <w:szCs w:val="20"/>
            </w:rPr>
            <w:t xml:space="preserve"> </w:t>
          </w:r>
          <w:proofErr w:type="spellStart"/>
          <w:r w:rsidRPr="00A92E27">
            <w:rPr>
              <w:rFonts w:asciiTheme="majorBidi" w:hAnsiTheme="majorBidi" w:cstheme="majorBidi"/>
              <w:sz w:val="20"/>
              <w:szCs w:val="20"/>
            </w:rPr>
            <w:t>SmartPLS</w:t>
          </w:r>
          <w:proofErr w:type="spellEnd"/>
          <w:r w:rsidRPr="00A92E27">
            <w:rPr>
              <w:rFonts w:asciiTheme="majorBidi" w:hAnsiTheme="majorBidi" w:cstheme="majorBidi"/>
              <w:sz w:val="20"/>
              <w:szCs w:val="20"/>
            </w:rPr>
            <w:t xml:space="preserve"> 4 output, processed 2024</w:t>
          </w:r>
        </w:p>
      </w:sdtContent>
    </w:sdt>
    <w:p w:rsidR="00563297" w:rsidRDefault="00563297" w:rsidP="00563297">
      <w:pPr>
        <w:pStyle w:val="ListParagraph"/>
      </w:pPr>
    </w:p>
    <w:p w:rsidR="00A92E27" w:rsidRDefault="009578B4" w:rsidP="00A92E27">
      <w:pPr>
        <w:pStyle w:val="ListParagraph"/>
        <w:numPr>
          <w:ilvl w:val="0"/>
          <w:numId w:val="1"/>
        </w:numPr>
      </w:pPr>
      <w:r>
        <w:t>Bootstrapping Islamic Bank and Conventional Bank</w:t>
      </w:r>
    </w:p>
    <w:p w:rsidR="00563297" w:rsidRDefault="00563297" w:rsidP="00A92E27">
      <w:pPr>
        <w:pStyle w:val="ListParagraph"/>
      </w:pPr>
    </w:p>
    <w:p w:rsidR="00A92E27" w:rsidRDefault="009578B4" w:rsidP="00563297">
      <w:pPr>
        <w:pStyle w:val="ListParagraph"/>
        <w:numPr>
          <w:ilvl w:val="0"/>
          <w:numId w:val="2"/>
        </w:numPr>
      </w:pPr>
      <w:r w:rsidRPr="00017C28">
        <w:rPr>
          <w:rStyle w:val="SubtleEmphasis"/>
          <w:rFonts w:asciiTheme="majorBidi" w:hAnsiTheme="majorBidi" w:cstheme="majorBidi"/>
          <w:i w:val="0"/>
          <w:iCs w:val="0"/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4863398</wp:posOffset>
            </wp:positionH>
            <wp:positionV relativeFrom="paragraph">
              <wp:posOffset>382638</wp:posOffset>
            </wp:positionV>
            <wp:extent cx="4371975" cy="3134995"/>
            <wp:effectExtent l="0" t="0" r="9525" b="8255"/>
            <wp:wrapTopAndBottom/>
            <wp:docPr id="7" name="Picture 7" descr="C:\Users\Lenovo\AppData\Local\Temp\image94532770397427687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:\Users\Lenovo\AppData\Local\Temp\image945327703974276878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C28">
        <w:rPr>
          <w:rFonts w:asciiTheme="majorBidi" w:eastAsiaTheme="minorEastAsia" w:hAnsiTheme="majorBidi" w:cstheme="majorBidi"/>
          <w:i/>
          <w:iCs/>
          <w:noProof/>
          <w:szCs w:val="2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422442</wp:posOffset>
            </wp:positionV>
            <wp:extent cx="4350385" cy="3119755"/>
            <wp:effectExtent l="0" t="0" r="0" b="4445"/>
            <wp:wrapTopAndBottom/>
            <wp:docPr id="6" name="Picture 6" descr="C:\Users\Lenovo\AppData\Local\Temp\image177749864497497787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Users\Lenovo\AppData\Local\Temp\image177749864497497787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85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297">
        <w:t>Islamic Bank</w:t>
      </w:r>
      <w:r w:rsidR="00563297">
        <w:tab/>
      </w:r>
      <w:r w:rsidR="00563297">
        <w:tab/>
      </w:r>
      <w:r w:rsidR="00563297">
        <w:tab/>
      </w:r>
      <w:r w:rsidR="00563297">
        <w:tab/>
      </w:r>
      <w:r w:rsidR="00563297">
        <w:tab/>
      </w:r>
      <w:r w:rsidR="00563297">
        <w:tab/>
      </w:r>
      <w:r w:rsidR="00563297">
        <w:tab/>
      </w:r>
      <w:r w:rsidR="00563297">
        <w:tab/>
      </w:r>
      <w:proofErr w:type="spellStart"/>
      <w:r w:rsidR="00563297">
        <w:t>b.Conventional</w:t>
      </w:r>
      <w:proofErr w:type="spellEnd"/>
      <w:r w:rsidR="00563297">
        <w:t xml:space="preserve"> Bank</w:t>
      </w:r>
    </w:p>
    <w:sectPr w:rsidR="00A92E27" w:rsidSect="00A92E27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47F79"/>
    <w:multiLevelType w:val="hybridMultilevel"/>
    <w:tmpl w:val="F38C068A"/>
    <w:lvl w:ilvl="0" w:tplc="C3005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716D598" w:tentative="1">
      <w:start w:val="1"/>
      <w:numFmt w:val="lowerLetter"/>
      <w:lvlText w:val="%2."/>
      <w:lvlJc w:val="left"/>
      <w:pPr>
        <w:ind w:left="1800" w:hanging="360"/>
      </w:pPr>
    </w:lvl>
    <w:lvl w:ilvl="2" w:tplc="D7044670" w:tentative="1">
      <w:start w:val="1"/>
      <w:numFmt w:val="lowerRoman"/>
      <w:lvlText w:val="%3."/>
      <w:lvlJc w:val="right"/>
      <w:pPr>
        <w:ind w:left="2520" w:hanging="180"/>
      </w:pPr>
    </w:lvl>
    <w:lvl w:ilvl="3" w:tplc="C4964134" w:tentative="1">
      <w:start w:val="1"/>
      <w:numFmt w:val="decimal"/>
      <w:lvlText w:val="%4."/>
      <w:lvlJc w:val="left"/>
      <w:pPr>
        <w:ind w:left="3240" w:hanging="360"/>
      </w:pPr>
    </w:lvl>
    <w:lvl w:ilvl="4" w:tplc="B48E4404" w:tentative="1">
      <w:start w:val="1"/>
      <w:numFmt w:val="lowerLetter"/>
      <w:lvlText w:val="%5."/>
      <w:lvlJc w:val="left"/>
      <w:pPr>
        <w:ind w:left="3960" w:hanging="360"/>
      </w:pPr>
    </w:lvl>
    <w:lvl w:ilvl="5" w:tplc="CE74DBA0" w:tentative="1">
      <w:start w:val="1"/>
      <w:numFmt w:val="lowerRoman"/>
      <w:lvlText w:val="%6."/>
      <w:lvlJc w:val="right"/>
      <w:pPr>
        <w:ind w:left="4680" w:hanging="180"/>
      </w:pPr>
    </w:lvl>
    <w:lvl w:ilvl="6" w:tplc="0EA2CFA4" w:tentative="1">
      <w:start w:val="1"/>
      <w:numFmt w:val="decimal"/>
      <w:lvlText w:val="%7."/>
      <w:lvlJc w:val="left"/>
      <w:pPr>
        <w:ind w:left="5400" w:hanging="360"/>
      </w:pPr>
    </w:lvl>
    <w:lvl w:ilvl="7" w:tplc="47FAA8D0" w:tentative="1">
      <w:start w:val="1"/>
      <w:numFmt w:val="lowerLetter"/>
      <w:lvlText w:val="%8."/>
      <w:lvlJc w:val="left"/>
      <w:pPr>
        <w:ind w:left="6120" w:hanging="360"/>
      </w:pPr>
    </w:lvl>
    <w:lvl w:ilvl="8" w:tplc="C92E7A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B15FC3"/>
    <w:multiLevelType w:val="hybridMultilevel"/>
    <w:tmpl w:val="877C133A"/>
    <w:lvl w:ilvl="0" w:tplc="EFDEA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C4EEC" w:tentative="1">
      <w:start w:val="1"/>
      <w:numFmt w:val="lowerLetter"/>
      <w:lvlText w:val="%2."/>
      <w:lvlJc w:val="left"/>
      <w:pPr>
        <w:ind w:left="1440" w:hanging="360"/>
      </w:pPr>
    </w:lvl>
    <w:lvl w:ilvl="2" w:tplc="258E1192" w:tentative="1">
      <w:start w:val="1"/>
      <w:numFmt w:val="lowerRoman"/>
      <w:lvlText w:val="%3."/>
      <w:lvlJc w:val="right"/>
      <w:pPr>
        <w:ind w:left="2160" w:hanging="180"/>
      </w:pPr>
    </w:lvl>
    <w:lvl w:ilvl="3" w:tplc="830A8690" w:tentative="1">
      <w:start w:val="1"/>
      <w:numFmt w:val="decimal"/>
      <w:lvlText w:val="%4."/>
      <w:lvlJc w:val="left"/>
      <w:pPr>
        <w:ind w:left="2880" w:hanging="360"/>
      </w:pPr>
    </w:lvl>
    <w:lvl w:ilvl="4" w:tplc="A46C2D8A" w:tentative="1">
      <w:start w:val="1"/>
      <w:numFmt w:val="lowerLetter"/>
      <w:lvlText w:val="%5."/>
      <w:lvlJc w:val="left"/>
      <w:pPr>
        <w:ind w:left="3600" w:hanging="360"/>
      </w:pPr>
    </w:lvl>
    <w:lvl w:ilvl="5" w:tplc="82CE7AD2" w:tentative="1">
      <w:start w:val="1"/>
      <w:numFmt w:val="lowerRoman"/>
      <w:lvlText w:val="%6."/>
      <w:lvlJc w:val="right"/>
      <w:pPr>
        <w:ind w:left="4320" w:hanging="180"/>
      </w:pPr>
    </w:lvl>
    <w:lvl w:ilvl="6" w:tplc="6AD26466" w:tentative="1">
      <w:start w:val="1"/>
      <w:numFmt w:val="decimal"/>
      <w:lvlText w:val="%7."/>
      <w:lvlJc w:val="left"/>
      <w:pPr>
        <w:ind w:left="5040" w:hanging="360"/>
      </w:pPr>
    </w:lvl>
    <w:lvl w:ilvl="7" w:tplc="0986BB0A" w:tentative="1">
      <w:start w:val="1"/>
      <w:numFmt w:val="lowerLetter"/>
      <w:lvlText w:val="%8."/>
      <w:lvlJc w:val="left"/>
      <w:pPr>
        <w:ind w:left="5760" w:hanging="360"/>
      </w:pPr>
    </w:lvl>
    <w:lvl w:ilvl="8" w:tplc="2640D3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27"/>
    <w:rsid w:val="00062B20"/>
    <w:rsid w:val="00186382"/>
    <w:rsid w:val="00287269"/>
    <w:rsid w:val="00433871"/>
    <w:rsid w:val="00563297"/>
    <w:rsid w:val="006107CE"/>
    <w:rsid w:val="00726CDE"/>
    <w:rsid w:val="0075496F"/>
    <w:rsid w:val="00780980"/>
    <w:rsid w:val="00875F10"/>
    <w:rsid w:val="00917757"/>
    <w:rsid w:val="009578B4"/>
    <w:rsid w:val="009C47D5"/>
    <w:rsid w:val="00A34A0F"/>
    <w:rsid w:val="00A6695D"/>
    <w:rsid w:val="00A92E27"/>
    <w:rsid w:val="00B26B56"/>
    <w:rsid w:val="00BB610A"/>
    <w:rsid w:val="00C417AD"/>
    <w:rsid w:val="00E34D8F"/>
    <w:rsid w:val="00E620E4"/>
    <w:rsid w:val="00EB5050"/>
    <w:rsid w:val="00EF7918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E27"/>
    <w:pPr>
      <w:spacing w:before="120" w:after="120"/>
      <w:outlineLvl w:val="0"/>
    </w:pPr>
    <w:rPr>
      <w:rFonts w:eastAsia="SimSu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92E27"/>
    <w:rPr>
      <w:rFonts w:ascii="Times New Roman" w:eastAsia="SimSun" w:hAnsi="Times New Roman" w:cs="Times New Roman"/>
      <w:b/>
      <w:bCs/>
      <w:color w:val="000000"/>
      <w:sz w:val="24"/>
      <w:szCs w:val="24"/>
      <w:lang w:val="en-ID"/>
    </w:rPr>
  </w:style>
  <w:style w:type="paragraph" w:styleId="FootnoteText">
    <w:name w:val="footnote text"/>
    <w:basedOn w:val="Normal"/>
    <w:link w:val="FootnoteTextChar"/>
    <w:uiPriority w:val="99"/>
    <w:rsid w:val="00A92E27"/>
    <w:pPr>
      <w:widowControl w:val="0"/>
      <w:snapToGrid w:val="0"/>
    </w:pPr>
    <w:rPr>
      <w:rFonts w:ascii="Calibri" w:eastAsia="SimSun" w:hAnsi="Calibri" w:cs="Arial"/>
      <w:kern w:val="2"/>
      <w:sz w:val="18"/>
      <w:szCs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2E27"/>
    <w:rPr>
      <w:rFonts w:ascii="Calibri" w:eastAsia="SimSun" w:hAnsi="Calibri" w:cs="Arial"/>
      <w:kern w:val="2"/>
      <w:sz w:val="18"/>
      <w:szCs w:val="18"/>
      <w:lang w:eastAsia="zh-CN"/>
    </w:rPr>
  </w:style>
  <w:style w:type="character" w:styleId="SubtleEmphasis">
    <w:name w:val="Subtle Emphasis"/>
    <w:basedOn w:val="DefaultParagraphFont"/>
    <w:uiPriority w:val="19"/>
    <w:qFormat/>
    <w:rsid w:val="00A92E27"/>
    <w:rPr>
      <w:i/>
      <w:iCs/>
      <w:color w:val="808080"/>
    </w:rPr>
  </w:style>
  <w:style w:type="paragraph" w:styleId="Caption">
    <w:name w:val="caption"/>
    <w:basedOn w:val="Normal"/>
    <w:next w:val="Normal"/>
    <w:uiPriority w:val="35"/>
    <w:qFormat/>
    <w:rsid w:val="00A92E27"/>
    <w:pPr>
      <w:spacing w:after="200"/>
    </w:pPr>
    <w:rPr>
      <w:i/>
      <w:iCs/>
      <w:color w:val="44546A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A92E27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A92E27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9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58CD1AB74048E0B91C153843A2C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9654D-C3C0-4EE2-B509-D7DA2873C437}"/>
      </w:docPartPr>
      <w:docPartBody>
        <w:p w:rsidR="00FD692D" w:rsidRDefault="006063DC" w:rsidP="00FD692D">
          <w:pPr>
            <w:pStyle w:val="A358CD1AB74048E0B91C153843A2C79C"/>
          </w:pPr>
          <w:r w:rsidRPr="00EB5050">
            <w:rPr>
              <w:rStyle w:val="PlaceholderText"/>
            </w:rPr>
            <w:t>Choose a building block.</w:t>
          </w:r>
        </w:p>
      </w:docPartBody>
    </w:docPart>
    <w:docPart>
      <w:docPartPr>
        <w:name w:val="FA518C6786A54464A3F01296A1549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A64A0-DCF6-40B0-AD53-5CBC999C7DD8}"/>
      </w:docPartPr>
      <w:docPartBody>
        <w:p w:rsidR="00FD692D" w:rsidRDefault="006063DC" w:rsidP="00FD692D">
          <w:pPr>
            <w:pStyle w:val="FA518C6786A54464A3F01296A1549446"/>
          </w:pPr>
          <w:r w:rsidRPr="00EB5050">
            <w:rPr>
              <w:rStyle w:val="PlaceholderText"/>
            </w:rPr>
            <w:t>Choose a building block.</w:t>
          </w:r>
        </w:p>
      </w:docPartBody>
    </w:docPart>
    <w:docPart>
      <w:docPartPr>
        <w:name w:val="17DE0037510144558BE7A50D71F8E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7437-E844-4718-81D6-DA7CEE4105DF}"/>
      </w:docPartPr>
      <w:docPartBody>
        <w:p w:rsidR="00FD692D" w:rsidRDefault="006063DC" w:rsidP="00FD692D">
          <w:pPr>
            <w:pStyle w:val="17DE0037510144558BE7A50D71F8E0D6"/>
          </w:pPr>
          <w:r w:rsidRPr="00EB5050">
            <w:rPr>
              <w:rStyle w:val="PlaceholderText"/>
            </w:rPr>
            <w:t>Choose a building block.</w:t>
          </w:r>
        </w:p>
      </w:docPartBody>
    </w:docPart>
    <w:docPart>
      <w:docPartPr>
        <w:name w:val="42DF520F8C9D4E53BC1B0FA44D814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61662-0DE7-4199-95BF-047675D4179F}"/>
      </w:docPartPr>
      <w:docPartBody>
        <w:p w:rsidR="00FD692D" w:rsidRDefault="006063DC" w:rsidP="00FD692D">
          <w:pPr>
            <w:pStyle w:val="42DF520F8C9D4E53BC1B0FA44D814CD1"/>
          </w:pPr>
          <w:r w:rsidRPr="00EB5050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2D"/>
    <w:rsid w:val="006063DC"/>
    <w:rsid w:val="00FC3D14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92D"/>
  </w:style>
  <w:style w:type="paragraph" w:customStyle="1" w:styleId="A358CD1AB74048E0B91C153843A2C79C">
    <w:name w:val="A358CD1AB74048E0B91C153843A2C79C"/>
    <w:rsid w:val="00FD692D"/>
    <w:pPr>
      <w:bidi/>
    </w:pPr>
  </w:style>
  <w:style w:type="paragraph" w:customStyle="1" w:styleId="FA518C6786A54464A3F01296A1549446">
    <w:name w:val="FA518C6786A54464A3F01296A1549446"/>
    <w:rsid w:val="00FD692D"/>
    <w:pPr>
      <w:bidi/>
    </w:pPr>
  </w:style>
  <w:style w:type="paragraph" w:customStyle="1" w:styleId="17DE0037510144558BE7A50D71F8E0D6">
    <w:name w:val="17DE0037510144558BE7A50D71F8E0D6"/>
    <w:rsid w:val="00FD692D"/>
    <w:pPr>
      <w:bidi/>
    </w:pPr>
  </w:style>
  <w:style w:type="paragraph" w:customStyle="1" w:styleId="42DF520F8C9D4E53BC1B0FA44D814CD1">
    <w:name w:val="42DF520F8C9D4E53BC1B0FA44D814CD1"/>
    <w:rsid w:val="00FD692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1097</Words>
  <Characters>7022</Characters>
  <Application>Microsoft Office Word</Application>
  <DocSecurity>0</DocSecurity>
  <Lines>758</Lines>
  <Paragraphs>717</Paragraphs>
  <ScaleCrop>false</ScaleCrop>
  <Company/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2024-06-25T09:32:00Z</dcterms:created>
  <dcterms:modified xsi:type="dcterms:W3CDTF">2024-06-25T09:32:00Z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b3f2f2f48e1dd5cb17fbda0c757c31668ffaf13f54866e0dca83e87515f8e098</vt:lpwstr>
  </property>
</Properties>
</file>