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E1605" w14:textId="23700FCB" w:rsidR="00AC52D6" w:rsidRPr="00A144CA" w:rsidRDefault="00017FF4" w:rsidP="00787201">
      <w:pPr>
        <w:pStyle w:val="IJUDULBARU"/>
        <w:rPr>
          <w:lang w:val="en-US"/>
        </w:rPr>
      </w:pPr>
      <w:r>
        <w:rPr>
          <w:lang w:val="en-US"/>
        </w:rPr>
        <w:t>The Role of</w:t>
      </w:r>
      <w:r w:rsidR="00506166" w:rsidRPr="00A144CA">
        <w:rPr>
          <w:lang w:val="en-US"/>
        </w:rPr>
        <w:t xml:space="preserve"> Third-Party Funds </w:t>
      </w:r>
      <w:r>
        <w:rPr>
          <w:lang w:val="en-US"/>
        </w:rPr>
        <w:t xml:space="preserve">Between The Effect </w:t>
      </w:r>
      <w:r w:rsidR="00506166" w:rsidRPr="00A144CA">
        <w:rPr>
          <w:lang w:val="en-US"/>
        </w:rPr>
        <w:t>Intellectual Capita</w:t>
      </w:r>
      <w:r w:rsidR="00323CAF" w:rsidRPr="00A144CA">
        <w:rPr>
          <w:lang w:val="en-US"/>
        </w:rPr>
        <w:t xml:space="preserve">l </w:t>
      </w:r>
      <w:r>
        <w:rPr>
          <w:lang w:val="en-US"/>
        </w:rPr>
        <w:t xml:space="preserve">and </w:t>
      </w:r>
      <w:r w:rsidR="00323CAF" w:rsidRPr="00A144CA">
        <w:rPr>
          <w:lang w:val="en-US"/>
        </w:rPr>
        <w:t xml:space="preserve">Zakat Performing Ratio </w:t>
      </w:r>
      <w:r>
        <w:rPr>
          <w:lang w:val="en-US"/>
        </w:rPr>
        <w:t xml:space="preserve">on </w:t>
      </w:r>
      <w:r w:rsidR="00323CAF" w:rsidRPr="00A144CA">
        <w:rPr>
          <w:lang w:val="en-US"/>
        </w:rPr>
        <w:t>Firm Performance</w:t>
      </w:r>
      <w:r>
        <w:rPr>
          <w:lang w:val="en-US"/>
        </w:rPr>
        <w:t xml:space="preserve"> Islamic Banks in Indonesia</w:t>
      </w:r>
    </w:p>
    <w:p w14:paraId="055F8706" w14:textId="13BB668B" w:rsidR="00AC52D6" w:rsidRPr="006467DC" w:rsidRDefault="00323CAF" w:rsidP="007B7C2C">
      <w:pPr>
        <w:pStyle w:val="IPENULIS"/>
        <w:rPr>
          <w:color w:val="333333"/>
          <w:lang w:val="en-US"/>
        </w:rPr>
      </w:pPr>
      <w:r>
        <w:rPr>
          <w:color w:val="333333"/>
          <w:lang w:val="en-US"/>
        </w:rPr>
        <w:t>Maya Novitasari,</w:t>
      </w:r>
      <w:r w:rsidR="006467DC" w:rsidRPr="006467DC">
        <w:rPr>
          <w:color w:val="333333"/>
          <w:vertAlign w:val="superscript"/>
          <w:lang w:val="en-US"/>
        </w:rPr>
        <w:t>1</w:t>
      </w:r>
      <w:r>
        <w:rPr>
          <w:color w:val="333333"/>
          <w:lang w:val="en-US"/>
        </w:rPr>
        <w:t xml:space="preserve"> </w:t>
      </w:r>
      <w:proofErr w:type="spellStart"/>
      <w:r>
        <w:rPr>
          <w:color w:val="333333"/>
          <w:lang w:val="en-US"/>
        </w:rPr>
        <w:t>Richo</w:t>
      </w:r>
      <w:proofErr w:type="spellEnd"/>
      <w:r>
        <w:rPr>
          <w:color w:val="333333"/>
          <w:lang w:val="en-US"/>
        </w:rPr>
        <w:t xml:space="preserve"> Diana Aviyanti</w:t>
      </w:r>
      <w:r w:rsidRPr="00323CAF">
        <w:rPr>
          <w:color w:val="333333"/>
          <w:vertAlign w:val="superscript"/>
          <w:lang w:val="en-US"/>
        </w:rPr>
        <w:t>2</w:t>
      </w:r>
      <w:r w:rsidR="006467DC">
        <w:rPr>
          <w:color w:val="333333"/>
          <w:lang w:val="en-US"/>
        </w:rPr>
        <w:t xml:space="preserve"> </w:t>
      </w:r>
    </w:p>
    <w:p w14:paraId="3CCBB66A" w14:textId="53797572" w:rsidR="00AC52D6" w:rsidRPr="006467DC" w:rsidRDefault="00313DEC" w:rsidP="007B7C2C">
      <w:pPr>
        <w:pStyle w:val="IPenket"/>
        <w:rPr>
          <w:b/>
          <w:color w:val="333333"/>
          <w:lang w:val="en-US"/>
        </w:rPr>
      </w:pPr>
      <w:r w:rsidRPr="006467DC">
        <w:rPr>
          <w:noProof/>
          <w:color w:val="333333"/>
          <w:vertAlign w:val="superscript"/>
          <w:lang w:val="en-US"/>
        </w:rPr>
        <w:drawing>
          <wp:anchor distT="0" distB="0" distL="114300" distR="114300" simplePos="0" relativeHeight="251656192" behindDoc="0" locked="0" layoutInCell="1" allowOverlap="1" wp14:anchorId="0E46FEDD" wp14:editId="54AC1B6E">
            <wp:simplePos x="0" y="0"/>
            <wp:positionH relativeFrom="column">
              <wp:posOffset>4496435</wp:posOffset>
            </wp:positionH>
            <wp:positionV relativeFrom="paragraph">
              <wp:posOffset>3561715</wp:posOffset>
            </wp:positionV>
            <wp:extent cx="694690" cy="694690"/>
            <wp:effectExtent l="0" t="0" r="0" b="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pic:spPr>
                </pic:pic>
              </a:graphicData>
            </a:graphic>
            <wp14:sizeRelH relativeFrom="page">
              <wp14:pctWidth>0</wp14:pctWidth>
            </wp14:sizeRelH>
            <wp14:sizeRelV relativeFrom="page">
              <wp14:pctHeight>0</wp14:pctHeight>
            </wp14:sizeRelV>
          </wp:anchor>
        </w:drawing>
      </w:r>
      <w:r w:rsidR="006467DC" w:rsidRPr="006467DC">
        <w:rPr>
          <w:color w:val="333333"/>
          <w:vertAlign w:val="superscript"/>
          <w:lang w:val="en-US"/>
        </w:rPr>
        <w:t>1</w:t>
      </w:r>
      <w:r w:rsidR="00323CAF">
        <w:rPr>
          <w:color w:val="333333"/>
          <w:vertAlign w:val="superscript"/>
          <w:lang w:val="en-US"/>
        </w:rPr>
        <w:t>,</w:t>
      </w:r>
      <w:bookmarkStart w:id="0" w:name="OLE_LINK2"/>
      <w:r w:rsidR="00323CAF">
        <w:rPr>
          <w:color w:val="333333"/>
          <w:vertAlign w:val="superscript"/>
          <w:lang w:val="en-US"/>
        </w:rPr>
        <w:t>2</w:t>
      </w:r>
      <w:r w:rsidR="00323CAF">
        <w:rPr>
          <w:color w:val="333333"/>
          <w:lang w:val="en-US"/>
        </w:rPr>
        <w:t xml:space="preserve">Universitas PGRI </w:t>
      </w:r>
      <w:proofErr w:type="spellStart"/>
      <w:r w:rsidR="00323CAF">
        <w:rPr>
          <w:color w:val="333333"/>
          <w:lang w:val="en-US"/>
        </w:rPr>
        <w:t>Madiun</w:t>
      </w:r>
      <w:proofErr w:type="spellEnd"/>
      <w:r w:rsidR="00323CAF">
        <w:rPr>
          <w:color w:val="333333"/>
          <w:lang w:val="en-US"/>
        </w:rPr>
        <w:t>, Indonesia</w:t>
      </w:r>
      <w:r w:rsidR="006467DC" w:rsidRPr="00DB3E33">
        <w:rPr>
          <w:color w:val="333333"/>
        </w:rPr>
        <w:t xml:space="preserve"> </w:t>
      </w:r>
      <w:r w:rsidR="007B7C2C" w:rsidRPr="00DB3E33">
        <w:rPr>
          <w:color w:val="333333"/>
        </w:rPr>
        <w:br/>
      </w:r>
      <w:bookmarkEnd w:id="0"/>
      <w:r w:rsidR="00323CAF">
        <w:rPr>
          <w:color w:val="333333"/>
          <w:lang w:val="en-US"/>
        </w:rPr>
        <w:t>Email: maya.novitasari@unipma.ac.id</w:t>
      </w:r>
    </w:p>
    <w:p w14:paraId="6E21D40D" w14:textId="77777777" w:rsidR="00CF50DC" w:rsidRDefault="006129F2" w:rsidP="00787201">
      <w:pPr>
        <w:pStyle w:val="StyleIABSSSLatinBoldGray-80"/>
      </w:pPr>
      <w:r w:rsidRPr="0070534E">
        <w:t>Abstract</w:t>
      </w:r>
    </w:p>
    <w:p w14:paraId="2097EAC8" w14:textId="4CF4DD96" w:rsidR="00017FF4" w:rsidRDefault="00CF50DC" w:rsidP="00CF50DC">
      <w:pPr>
        <w:pStyle w:val="IABSSS"/>
        <w:rPr>
          <w:rFonts w:cs="Times New Roman"/>
          <w:sz w:val="16"/>
          <w:szCs w:val="16"/>
        </w:rPr>
      </w:pPr>
      <w:r w:rsidRPr="00A144CA">
        <w:rPr>
          <w:b/>
          <w:sz w:val="16"/>
          <w:szCs w:val="16"/>
        </w:rPr>
        <w:t>Purpose</w:t>
      </w:r>
      <w:r w:rsidRPr="00A144CA">
        <w:rPr>
          <w:sz w:val="16"/>
          <w:szCs w:val="16"/>
        </w:rPr>
        <w:t xml:space="preserve"> - </w:t>
      </w:r>
      <w:r w:rsidR="00017FF4" w:rsidRPr="00017FF4">
        <w:rPr>
          <w:rFonts w:cs="Times New Roman"/>
          <w:sz w:val="16"/>
          <w:szCs w:val="16"/>
        </w:rPr>
        <w:t xml:space="preserve">This study aims to examine the effect of intellectual capital and zakat performance on </w:t>
      </w:r>
      <w:r w:rsidR="009B3DA6">
        <w:rPr>
          <w:rFonts w:cs="Times New Roman"/>
          <w:sz w:val="16"/>
          <w:szCs w:val="16"/>
        </w:rPr>
        <w:t xml:space="preserve">the </w:t>
      </w:r>
      <w:r w:rsidR="00017FF4" w:rsidRPr="00017FF4">
        <w:rPr>
          <w:rFonts w:cs="Times New Roman"/>
          <w:sz w:val="16"/>
          <w:szCs w:val="16"/>
        </w:rPr>
        <w:t>firm performance of Islamic banks with third-party funds as a moderating variable.</w:t>
      </w:r>
    </w:p>
    <w:p w14:paraId="7DC2760B" w14:textId="1FC4ECA9" w:rsidR="00CF50DC" w:rsidRPr="00A144CA" w:rsidRDefault="00CF50DC" w:rsidP="00CF50DC">
      <w:pPr>
        <w:pStyle w:val="IABSSS"/>
        <w:rPr>
          <w:sz w:val="16"/>
          <w:szCs w:val="16"/>
        </w:rPr>
      </w:pPr>
      <w:r w:rsidRPr="00A144CA">
        <w:rPr>
          <w:b/>
          <w:sz w:val="16"/>
          <w:szCs w:val="16"/>
        </w:rPr>
        <w:t xml:space="preserve">Method </w:t>
      </w:r>
      <w:r w:rsidRPr="00A144CA">
        <w:rPr>
          <w:sz w:val="16"/>
          <w:szCs w:val="16"/>
        </w:rPr>
        <w:t xml:space="preserve">- </w:t>
      </w:r>
      <w:r w:rsidR="00017FF4" w:rsidRPr="00017FF4">
        <w:rPr>
          <w:rFonts w:cs="Times New Roman"/>
          <w:sz w:val="16"/>
          <w:szCs w:val="16"/>
        </w:rPr>
        <w:t xml:space="preserve">This study uses all Islamic banks registered with the Financial Services Authority (OJK) </w:t>
      </w:r>
      <w:r w:rsidR="009B3DA6">
        <w:rPr>
          <w:rFonts w:cs="Times New Roman"/>
          <w:sz w:val="16"/>
          <w:szCs w:val="16"/>
        </w:rPr>
        <w:t>from</w:t>
      </w:r>
      <w:r w:rsidR="00017FF4" w:rsidRPr="00017FF4">
        <w:rPr>
          <w:rFonts w:cs="Times New Roman"/>
          <w:sz w:val="16"/>
          <w:szCs w:val="16"/>
        </w:rPr>
        <w:t xml:space="preserve"> 2014</w:t>
      </w:r>
      <w:r w:rsidR="009B3DA6">
        <w:rPr>
          <w:rFonts w:cs="Times New Roman"/>
          <w:sz w:val="16"/>
          <w:szCs w:val="16"/>
        </w:rPr>
        <w:t xml:space="preserve"> to </w:t>
      </w:r>
      <w:r w:rsidR="00017FF4" w:rsidRPr="00017FF4">
        <w:rPr>
          <w:rFonts w:cs="Times New Roman"/>
          <w:sz w:val="16"/>
          <w:szCs w:val="16"/>
        </w:rPr>
        <w:t xml:space="preserve">2020, which were selected through a purposive sampling method </w:t>
      </w:r>
      <w:r w:rsidR="009B3DA6">
        <w:rPr>
          <w:rFonts w:cs="Times New Roman"/>
          <w:sz w:val="16"/>
          <w:szCs w:val="16"/>
        </w:rPr>
        <w:t>that</w:t>
      </w:r>
      <w:r w:rsidR="00017FF4" w:rsidRPr="00017FF4">
        <w:rPr>
          <w:rFonts w:cs="Times New Roman"/>
          <w:sz w:val="16"/>
          <w:szCs w:val="16"/>
        </w:rPr>
        <w:t xml:space="preserve"> includes financial statements and annual reports so that 110 companies are obtained as samples. Data </w:t>
      </w:r>
      <w:r w:rsidR="009B3DA6">
        <w:rPr>
          <w:rFonts w:cs="Times New Roman"/>
          <w:sz w:val="16"/>
          <w:szCs w:val="16"/>
        </w:rPr>
        <w:t xml:space="preserve">were </w:t>
      </w:r>
      <w:r w:rsidR="00017FF4" w:rsidRPr="00017FF4">
        <w:rPr>
          <w:rFonts w:cs="Times New Roman"/>
          <w:sz w:val="16"/>
          <w:szCs w:val="16"/>
        </w:rPr>
        <w:t>obtained from the Indonesia Stock Exchange and tested using SPSS.</w:t>
      </w:r>
    </w:p>
    <w:p w14:paraId="28378925" w14:textId="5F5C16C7" w:rsidR="00CF50DC" w:rsidRPr="00A144CA" w:rsidRDefault="00CF50DC" w:rsidP="00CF50DC">
      <w:pPr>
        <w:pStyle w:val="IABSSS"/>
        <w:rPr>
          <w:sz w:val="16"/>
          <w:szCs w:val="16"/>
        </w:rPr>
      </w:pPr>
      <w:r w:rsidRPr="00A144CA">
        <w:rPr>
          <w:b/>
          <w:sz w:val="16"/>
          <w:szCs w:val="16"/>
        </w:rPr>
        <w:t>Result</w:t>
      </w:r>
      <w:r w:rsidRPr="00A144CA">
        <w:rPr>
          <w:sz w:val="16"/>
          <w:szCs w:val="16"/>
        </w:rPr>
        <w:t xml:space="preserve"> </w:t>
      </w:r>
      <w:r w:rsidR="0030120C" w:rsidRPr="00A144CA">
        <w:rPr>
          <w:sz w:val="16"/>
          <w:szCs w:val="16"/>
        </w:rPr>
        <w:t xml:space="preserve"> </w:t>
      </w:r>
      <w:r w:rsidRPr="00A144CA">
        <w:rPr>
          <w:sz w:val="16"/>
          <w:szCs w:val="16"/>
        </w:rPr>
        <w:t xml:space="preserve">- </w:t>
      </w:r>
      <w:r w:rsidR="00017FF4" w:rsidRPr="00017FF4">
        <w:rPr>
          <w:sz w:val="16"/>
          <w:szCs w:val="16"/>
        </w:rPr>
        <w:t xml:space="preserve">This study shows that intellectual capital </w:t>
      </w:r>
      <w:r w:rsidR="009B3DA6">
        <w:rPr>
          <w:sz w:val="16"/>
          <w:szCs w:val="16"/>
        </w:rPr>
        <w:t>positively affects</w:t>
      </w:r>
      <w:r w:rsidR="00017FF4" w:rsidRPr="00017FF4">
        <w:rPr>
          <w:sz w:val="16"/>
          <w:szCs w:val="16"/>
        </w:rPr>
        <w:t xml:space="preserve"> ROA and ROE</w:t>
      </w:r>
      <w:r w:rsidR="009B3DA6">
        <w:rPr>
          <w:sz w:val="16"/>
          <w:szCs w:val="16"/>
        </w:rPr>
        <w:t>,</w:t>
      </w:r>
      <w:r w:rsidR="00017FF4" w:rsidRPr="00017FF4">
        <w:rPr>
          <w:sz w:val="16"/>
          <w:szCs w:val="16"/>
        </w:rPr>
        <w:t xml:space="preserve"> and </w:t>
      </w:r>
      <w:r w:rsidR="009B3DA6">
        <w:rPr>
          <w:sz w:val="16"/>
          <w:szCs w:val="16"/>
        </w:rPr>
        <w:t>Z</w:t>
      </w:r>
      <w:r w:rsidR="00017FF4" w:rsidRPr="00017FF4">
        <w:rPr>
          <w:sz w:val="16"/>
          <w:szCs w:val="16"/>
        </w:rPr>
        <w:t>akat performing ratio has no effect on ROA and ROE. Th</w:t>
      </w:r>
      <w:r w:rsidR="009B3DA6">
        <w:rPr>
          <w:sz w:val="16"/>
          <w:szCs w:val="16"/>
        </w:rPr>
        <w:t>is study indicates</w:t>
      </w:r>
      <w:r w:rsidR="00017FF4" w:rsidRPr="00017FF4">
        <w:rPr>
          <w:sz w:val="16"/>
          <w:szCs w:val="16"/>
        </w:rPr>
        <w:t xml:space="preserve"> that third-party funds cannot moderate the influence of intellectual capital on firm performance</w:t>
      </w:r>
      <w:r w:rsidR="009B3DA6">
        <w:rPr>
          <w:sz w:val="16"/>
          <w:szCs w:val="16"/>
        </w:rPr>
        <w:t>,</w:t>
      </w:r>
      <w:r w:rsidR="00017FF4" w:rsidRPr="00017FF4">
        <w:rPr>
          <w:sz w:val="16"/>
          <w:szCs w:val="16"/>
        </w:rPr>
        <w:t xml:space="preserve"> and third-party funds cannot moderate the effect of </w:t>
      </w:r>
      <w:r w:rsidR="009B3DA6">
        <w:rPr>
          <w:sz w:val="16"/>
          <w:szCs w:val="16"/>
        </w:rPr>
        <w:t>Z</w:t>
      </w:r>
      <w:r w:rsidR="00017FF4" w:rsidRPr="00017FF4">
        <w:rPr>
          <w:sz w:val="16"/>
          <w:szCs w:val="16"/>
        </w:rPr>
        <w:t>akat performing ratio on firm performance.</w:t>
      </w:r>
    </w:p>
    <w:p w14:paraId="337FEF1A" w14:textId="751DB0A3" w:rsidR="00017FF4" w:rsidRDefault="00CF50DC" w:rsidP="0070534E">
      <w:pPr>
        <w:pStyle w:val="IABSSS"/>
        <w:rPr>
          <w:sz w:val="16"/>
          <w:szCs w:val="16"/>
        </w:rPr>
      </w:pPr>
      <w:r w:rsidRPr="00A144CA">
        <w:rPr>
          <w:b/>
          <w:sz w:val="16"/>
          <w:szCs w:val="16"/>
        </w:rPr>
        <w:t>Implication</w:t>
      </w:r>
      <w:r w:rsidRPr="00A144CA">
        <w:rPr>
          <w:sz w:val="16"/>
          <w:szCs w:val="16"/>
        </w:rPr>
        <w:t xml:space="preserve"> </w:t>
      </w:r>
      <w:r w:rsidR="00A144CA" w:rsidRPr="00A144CA">
        <w:rPr>
          <w:sz w:val="16"/>
          <w:szCs w:val="16"/>
        </w:rPr>
        <w:t>–</w:t>
      </w:r>
      <w:r w:rsidRPr="00A144CA">
        <w:rPr>
          <w:sz w:val="16"/>
          <w:szCs w:val="16"/>
        </w:rPr>
        <w:t xml:space="preserve"> </w:t>
      </w:r>
      <w:r w:rsidR="00017FF4" w:rsidRPr="00017FF4">
        <w:rPr>
          <w:sz w:val="16"/>
          <w:szCs w:val="16"/>
        </w:rPr>
        <w:t xml:space="preserve">In improving the firm performance of Islamic banks in Indonesia, it is necessary to pay attention to factors that can increase </w:t>
      </w:r>
      <w:r w:rsidR="009B3DA6">
        <w:rPr>
          <w:sz w:val="16"/>
          <w:szCs w:val="16"/>
        </w:rPr>
        <w:t>customers' trust</w:t>
      </w:r>
      <w:r w:rsidR="00017FF4" w:rsidRPr="00017FF4">
        <w:rPr>
          <w:sz w:val="16"/>
          <w:szCs w:val="16"/>
        </w:rPr>
        <w:t xml:space="preserve"> and prospective customers to place funds in Islamic banks.</w:t>
      </w:r>
    </w:p>
    <w:p w14:paraId="753C2C91" w14:textId="15B10000" w:rsidR="00AC52D6" w:rsidRPr="00A144CA" w:rsidRDefault="00CF50DC" w:rsidP="0070534E">
      <w:pPr>
        <w:pStyle w:val="IABSSS"/>
      </w:pPr>
      <w:r w:rsidRPr="00A144CA">
        <w:rPr>
          <w:b/>
          <w:sz w:val="16"/>
          <w:szCs w:val="16"/>
        </w:rPr>
        <w:t>Originality</w:t>
      </w:r>
      <w:r w:rsidRPr="00A144CA">
        <w:rPr>
          <w:sz w:val="16"/>
          <w:szCs w:val="16"/>
        </w:rPr>
        <w:t xml:space="preserve"> </w:t>
      </w:r>
      <w:r w:rsidR="00A144CA" w:rsidRPr="00A144CA">
        <w:rPr>
          <w:sz w:val="16"/>
          <w:szCs w:val="16"/>
        </w:rPr>
        <w:t>–</w:t>
      </w:r>
      <w:r w:rsidRPr="00A144CA">
        <w:rPr>
          <w:sz w:val="16"/>
          <w:szCs w:val="16"/>
        </w:rPr>
        <w:t xml:space="preserve"> </w:t>
      </w:r>
      <w:r w:rsidR="00017FF4" w:rsidRPr="00017FF4">
        <w:rPr>
          <w:sz w:val="16"/>
          <w:szCs w:val="16"/>
        </w:rPr>
        <w:t xml:space="preserve">This study uses third-party funds as a moderating variable to complete the research gap on the influence of intellectual capital and </w:t>
      </w:r>
      <w:r w:rsidR="009B3DA6">
        <w:rPr>
          <w:sz w:val="16"/>
          <w:szCs w:val="16"/>
        </w:rPr>
        <w:t>Z</w:t>
      </w:r>
      <w:r w:rsidR="00017FF4" w:rsidRPr="00017FF4">
        <w:rPr>
          <w:sz w:val="16"/>
          <w:szCs w:val="16"/>
        </w:rPr>
        <w:t>akat performing ratio on firm performance.</w:t>
      </w:r>
    </w:p>
    <w:p w14:paraId="2086BFDF" w14:textId="7CC4BE5C" w:rsidR="005516D4" w:rsidRPr="00DB3E33" w:rsidRDefault="00313DEC" w:rsidP="00CC4B0E">
      <w:pPr>
        <w:pStyle w:val="IKeyWords"/>
        <w:rPr>
          <w:i/>
        </w:rPr>
      </w:pPr>
      <w:r>
        <w:rPr>
          <w:i/>
          <w:noProof/>
          <w:color w:val="333333"/>
          <w:lang w:val="en-US"/>
        </w:rPr>
        <mc:AlternateContent>
          <mc:Choice Requires="wps">
            <w:drawing>
              <wp:anchor distT="0" distB="0" distL="114300" distR="114300" simplePos="0" relativeHeight="251657216" behindDoc="0" locked="0" layoutInCell="1" allowOverlap="1" wp14:anchorId="69A53F2C" wp14:editId="037570A0">
                <wp:simplePos x="0" y="0"/>
                <wp:positionH relativeFrom="column">
                  <wp:posOffset>4443095</wp:posOffset>
                </wp:positionH>
                <wp:positionV relativeFrom="paragraph">
                  <wp:posOffset>557530</wp:posOffset>
                </wp:positionV>
                <wp:extent cx="914400" cy="419100"/>
                <wp:effectExtent l="9525" t="9525" r="9525" b="9525"/>
                <wp:wrapNone/>
                <wp:docPr id="7"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solidFill>
                          <a:srgbClr val="FFFFFF"/>
                        </a:solidFill>
                        <a:ln w="9525">
                          <a:solidFill>
                            <a:srgbClr val="FFFFFF"/>
                          </a:solidFill>
                          <a:miter lim="800000"/>
                          <a:headEnd/>
                          <a:tailEnd/>
                        </a:ln>
                      </wps:spPr>
                      <wps:txbx>
                        <w:txbxContent>
                          <w:p w14:paraId="62C10E73" w14:textId="77777777" w:rsidR="006467DC" w:rsidRPr="001D2044" w:rsidRDefault="006467DC" w:rsidP="006467DC">
                            <w:pPr>
                              <w:rPr>
                                <w:sz w:val="10"/>
                                <w:szCs w:val="10"/>
                                <w:lang w:val="en-US"/>
                              </w:rPr>
                            </w:pPr>
                            <w:r w:rsidRPr="001D2044">
                              <w:rPr>
                                <w:sz w:val="10"/>
                                <w:szCs w:val="10"/>
                                <w:lang w:val="en-US"/>
                              </w:rPr>
                              <w:t>Journal of Islamic Accounting and Finance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53F2C" id="_x0000_t202" coordsize="21600,21600" o:spt="202" path="m,l,21600r21600,l21600,xe">
                <v:stroke joinstyle="miter"/>
                <v:path gradientshapeok="t" o:connecttype="rect"/>
              </v:shapetype>
              <v:shape id="Text Box 309" o:spid="_x0000_s1026" type="#_x0000_t202" style="position:absolute;left:0;text-align:left;margin-left:349.85pt;margin-top:43.9pt;width:1in;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jzDAIAACoEAAAOAAAAZHJzL2Uyb0RvYy54bWysU1Fv0zAQfkfiP1h+p0mrFrao6TQ6ipDG&#10;QBr8ANdxEgvHZ85uk/LrOTtZV+Btwg/W2Xf+7u67z+uboTPsqNBrsCWfz3LOlJVQaduU/Pu33Zsr&#10;znwQthIGrCr5SXl+s3n9at27Qi2gBVMpZARifdG7krchuCLLvGxVJ/wMnLLkrAE7EeiITVah6Am9&#10;M9kiz99mPWDlEKTynm7vRiffJPy6VjJ8qWuvAjMlp9pC2jHt+7hnm7UoGhSu1XIqQ7ygik5oS0nP&#10;UHciCHZA/Q9UpyWChzrMJHQZ1LWWKvVA3czzv7p5bIVTqRcix7szTf7/wcqH46P7iiwM72GgAaYm&#10;vLsH+cMzC9tW2EbdIkLfKlFR4nmkLOudL6ankWpf+Aiy7z9DRUMWhwAJaKixi6xQn4zQaQCnM+lq&#10;CEzS5fV8uczJI8m1nF/PyY4ZRPH02KEPHxV0LBolR5ppAhfHex/G0KeQmMuD0dVOG5MO2Oy3BtlR&#10;0Px3aU3of4QZy3qqZLVYjf2/AKLTgYRsdFfyqzyuUVqRtQ+2SjILQpvRpu6MnWiMzI0chmE/UGCk&#10;cw/ViQhFGAVLH4yMFvAXZz2JteT+50Gg4sx8sjSUxCGpOx2Wq3cL4hMvPftLj7CSoEoeOBvNbRh/&#10;xMGhblrKNMrAwi0NstaJ5OeqprpJkGlM0+eJir88p6jnL775DQAA//8DAFBLAwQUAAYACAAAACEA&#10;AiVVat8AAAAKAQAADwAAAGRycy9kb3ducmV2LnhtbEyPwU7CQBCG7yS8w2ZMvBDZUhRK7ZYQovEM&#10;evG2dIe2sTvbdhdafHrHkx5n5ss/359tR9uIK/a+dqRgMY9AIBXO1FQq+Hh/fUhA+KDJ6MYRKrih&#10;h20+nWQ6NW6gA16PoRQcQj7VCqoQ2lRKX1RotZ+7FolvZ9dbHXjsS2l6PXC4bWQcRStpdU38odIt&#10;7issvo4Xq8ANLzfrsIvi2ee3fdvvusM57pS6vxt3zyACjuEPhl99VoecnU7uQsaLRsFqs1kzqiBZ&#10;cwUGksclL05MPi0TkHkm/1fIfwAAAP//AwBQSwECLQAUAAYACAAAACEAtoM4kv4AAADhAQAAEwAA&#10;AAAAAAAAAAAAAAAAAAAAW0NvbnRlbnRfVHlwZXNdLnhtbFBLAQItABQABgAIAAAAIQA4/SH/1gAA&#10;AJQBAAALAAAAAAAAAAAAAAAAAC8BAABfcmVscy8ucmVsc1BLAQItABQABgAIAAAAIQB4DyjzDAIA&#10;ACoEAAAOAAAAAAAAAAAAAAAAAC4CAABkcnMvZTJvRG9jLnhtbFBLAQItABQABgAIAAAAIQACJVVq&#10;3wAAAAoBAAAPAAAAAAAAAAAAAAAAAGYEAABkcnMvZG93bnJldi54bWxQSwUGAAAAAAQABADzAAAA&#10;cgUAAAAA&#10;" strokecolor="white">
                <v:textbox>
                  <w:txbxContent>
                    <w:p w14:paraId="62C10E73" w14:textId="77777777" w:rsidR="006467DC" w:rsidRPr="001D2044" w:rsidRDefault="006467DC" w:rsidP="006467DC">
                      <w:pPr>
                        <w:rPr>
                          <w:sz w:val="10"/>
                          <w:szCs w:val="10"/>
                          <w:lang w:val="en-US"/>
                        </w:rPr>
                      </w:pPr>
                      <w:r w:rsidRPr="001D2044">
                        <w:rPr>
                          <w:sz w:val="10"/>
                          <w:szCs w:val="10"/>
                          <w:lang w:val="en-US"/>
                        </w:rPr>
                        <w:t>Journal of Islamic Accounting and Finance Research</w:t>
                      </w:r>
                    </w:p>
                  </w:txbxContent>
                </v:textbox>
              </v:shape>
            </w:pict>
          </mc:Fallback>
        </mc:AlternateContent>
      </w:r>
      <w:r w:rsidR="006129F2" w:rsidRPr="00DB1AD2">
        <w:t>Keywords</w:t>
      </w:r>
      <w:r w:rsidR="00AC52D6" w:rsidRPr="00DB1AD2">
        <w:t>:</w:t>
      </w:r>
      <w:r w:rsidR="00AC52D6" w:rsidRPr="00DB3E33">
        <w:t xml:space="preserve"> </w:t>
      </w:r>
      <w:r w:rsidR="0070534E">
        <w:tab/>
      </w:r>
      <w:r w:rsidR="00A144CA">
        <w:t>intellectual capital; zakat performing ratio;  third-party funds; ROA; ROE</w:t>
      </w:r>
    </w:p>
    <w:p w14:paraId="6C7B97F7" w14:textId="77777777" w:rsidR="005516D4" w:rsidRPr="00DB3E33" w:rsidRDefault="005516D4" w:rsidP="007B7C2C">
      <w:pPr>
        <w:pStyle w:val="IAKEY"/>
        <w:rPr>
          <w:i/>
          <w:color w:val="333333"/>
        </w:rPr>
        <w:sectPr w:rsidR="005516D4" w:rsidRPr="00DB3E33" w:rsidSect="005E3B9A">
          <w:headerReference w:type="even" r:id="rId9"/>
          <w:headerReference w:type="default" r:id="rId10"/>
          <w:footerReference w:type="even" r:id="rId11"/>
          <w:footerReference w:type="default" r:id="rId12"/>
          <w:footnotePr>
            <w:numRestart w:val="eachSect"/>
          </w:footnotePr>
          <w:pgSz w:w="9979" w:h="14181" w:code="147"/>
          <w:pgMar w:top="2155" w:right="1871" w:bottom="2155" w:left="1418" w:header="1418" w:footer="1474" w:gutter="0"/>
          <w:cols w:space="720"/>
          <w:docGrid w:linePitch="360"/>
        </w:sectPr>
      </w:pPr>
    </w:p>
    <w:p w14:paraId="5C81C348" w14:textId="77777777" w:rsidR="00AC52D6" w:rsidRPr="00181238" w:rsidRDefault="00181238" w:rsidP="006129F2">
      <w:pPr>
        <w:pStyle w:val="I-POINT"/>
      </w:pPr>
      <w:r w:rsidRPr="00181238">
        <w:rPr>
          <w:lang w:val="en-US"/>
        </w:rPr>
        <w:lastRenderedPageBreak/>
        <w:t>Introduction</w:t>
      </w:r>
      <w:r w:rsidR="00AC52D6" w:rsidRPr="00181238">
        <w:t xml:space="preserve"> </w:t>
      </w:r>
    </w:p>
    <w:p w14:paraId="78E79376" w14:textId="2611BBF8" w:rsidR="009B3DA6" w:rsidRDefault="009B3DA6" w:rsidP="00A144CA">
      <w:pPr>
        <w:spacing w:after="80" w:line="300" w:lineRule="exact"/>
        <w:ind w:firstLine="425"/>
        <w:jc w:val="both"/>
        <w:rPr>
          <w:rFonts w:ascii="Cambria" w:hAnsi="Cambria" w:cs="Times New Roman"/>
        </w:rPr>
      </w:pPr>
      <w:r w:rsidRPr="009B3DA6">
        <w:rPr>
          <w:rFonts w:ascii="Cambria" w:hAnsi="Cambria" w:cs="Times New Roman"/>
        </w:rPr>
        <w:t xml:space="preserve">Islamic banks have an important role in creating a more competitive banking system with </w:t>
      </w:r>
      <w:r>
        <w:rPr>
          <w:rFonts w:ascii="Cambria" w:hAnsi="Cambria" w:cs="Times New Roman"/>
        </w:rPr>
        <w:t>profit sharing and usury principles</w:t>
      </w:r>
      <w:r w:rsidRPr="009B3DA6">
        <w:rPr>
          <w:rFonts w:ascii="Cambria" w:hAnsi="Cambria" w:cs="Times New Roman"/>
        </w:rPr>
        <w:t xml:space="preserve">. This gives rise to the existence of Islamic banks as a place to run the economic system seen from an Islamic perspective. The </w:t>
      </w:r>
      <w:r>
        <w:rPr>
          <w:rFonts w:ascii="Cambria" w:hAnsi="Cambria" w:cs="Times New Roman"/>
        </w:rPr>
        <w:t>pres</w:t>
      </w:r>
      <w:r w:rsidRPr="009B3DA6">
        <w:rPr>
          <w:rFonts w:ascii="Cambria" w:hAnsi="Cambria" w:cs="Times New Roman"/>
        </w:rPr>
        <w:t>ence of Islamic banks is very popular as a place to run a sharia-based economy because of the absence of usury, ease of procedures, flexibility, profit, and performance that is considered better than conventional banks. This has triggered competition between Islamic and conventional banks in the domestic banking market.</w:t>
      </w:r>
    </w:p>
    <w:p w14:paraId="5E9089D5" w14:textId="01A0299D" w:rsidR="009B3DA6" w:rsidRPr="009B3DA6" w:rsidRDefault="00286EB7" w:rsidP="009B3DA6">
      <w:pPr>
        <w:spacing w:after="80" w:line="300" w:lineRule="exact"/>
        <w:ind w:firstLine="425"/>
        <w:jc w:val="both"/>
        <w:rPr>
          <w:rFonts w:ascii="Cambria" w:hAnsi="Cambria" w:cs="Times New Roman"/>
        </w:rPr>
      </w:pPr>
      <w:r w:rsidRPr="00E96528">
        <w:rPr>
          <w:rFonts w:ascii="Cambria" w:hAnsi="Cambria" w:cs="Times New Roman"/>
        </w:rPr>
        <w:fldChar w:fldCharType="begin" w:fldLock="1"/>
      </w:r>
      <w:r w:rsidR="00E96528">
        <w:rPr>
          <w:rFonts w:ascii="Cambria" w:hAnsi="Cambria" w:cs="Times New Roman"/>
        </w:rPr>
        <w:instrText>ADDIN CSL_CITATION {"citationItems":[{"id":"ITEM-1","itemData":{"DOI":"10.1080/09692290.2018.1512514","ISSN":"0969-2290","author":[{"dropping-particle":"","family":"Sgambati","given":"Stefano","non-dropping-particle":"","parse-names":false,"suffix":""}],"container-title":"Review of International Political Economy","id":"ITEM-1","issue":"2","issued":{"date-parts":[["2019","3"]]},"page":"287-312","publisher":"Routledge","title":"The art of leverage: a study of bank power, money-making and debt finance","type":"article-journal","volume":"26"},"uris":["http://www.mendeley.com/documents/?uuid=3925d4cf-22b3-424f-9814-2c4ddc4e5f0d","http://www.mendeley.com/documents/?uuid=107463d6-366e-442a-a83b-74a2d0686759"]}],"mendeley":{"formattedCitation":"(Sgambati, 2019)","manualFormatting":"Sgambati (2019)","plainTextFormattedCitation":"(Sgambati, 2019)","previouslyFormattedCitation":"(Sgambati, 2019)"},"properties":{"noteIndex":0},"schema":"https://github.com/citation-style-language/schema/raw/master/csl-citation.json"}</w:instrText>
      </w:r>
      <w:r w:rsidRPr="00E96528">
        <w:rPr>
          <w:rFonts w:ascii="Cambria" w:hAnsi="Cambria" w:cs="Times New Roman"/>
        </w:rPr>
        <w:fldChar w:fldCharType="separate"/>
      </w:r>
      <w:r w:rsidRPr="00E96528">
        <w:rPr>
          <w:rFonts w:ascii="Cambria" w:hAnsi="Cambria" w:cs="Times New Roman"/>
          <w:noProof/>
        </w:rPr>
        <w:t xml:space="preserve">Sgambati </w:t>
      </w:r>
      <w:r w:rsidRPr="00E96528">
        <w:rPr>
          <w:rFonts w:ascii="Cambria" w:hAnsi="Cambria" w:cs="Times New Roman"/>
          <w:noProof/>
          <w:lang w:val="en-US"/>
        </w:rPr>
        <w:t>(</w:t>
      </w:r>
      <w:r w:rsidRPr="00E96528">
        <w:rPr>
          <w:rFonts w:ascii="Cambria" w:hAnsi="Cambria" w:cs="Times New Roman"/>
          <w:noProof/>
        </w:rPr>
        <w:t>2019)</w:t>
      </w:r>
      <w:r w:rsidRPr="00E96528">
        <w:rPr>
          <w:rFonts w:ascii="Cambria" w:hAnsi="Cambria" w:cs="Times New Roman"/>
        </w:rPr>
        <w:fldChar w:fldCharType="end"/>
      </w:r>
      <w:r>
        <w:rPr>
          <w:rFonts w:ascii="Cambria" w:hAnsi="Cambria" w:cs="Times New Roman"/>
          <w:lang w:val="en-US"/>
        </w:rPr>
        <w:t xml:space="preserve"> </w:t>
      </w:r>
      <w:r w:rsidR="009B3DA6">
        <w:rPr>
          <w:rFonts w:ascii="Cambria" w:hAnsi="Cambria" w:cs="Times New Roman"/>
        </w:rPr>
        <w:t>explai</w:t>
      </w:r>
      <w:r w:rsidR="009B3DA6" w:rsidRPr="009B3DA6">
        <w:rPr>
          <w:rFonts w:ascii="Cambria" w:hAnsi="Cambria" w:cs="Times New Roman"/>
        </w:rPr>
        <w:t>n that banks are generally a place to collect funds in the form of savings to be channe</w:t>
      </w:r>
      <w:r w:rsidR="001D2674">
        <w:rPr>
          <w:rFonts w:ascii="Cambria" w:hAnsi="Cambria" w:cs="Times New Roman"/>
        </w:rPr>
        <w:t>l</w:t>
      </w:r>
      <w:r w:rsidR="009B3DA6" w:rsidRPr="009B3DA6">
        <w:rPr>
          <w:rFonts w:ascii="Cambria" w:hAnsi="Cambria" w:cs="Times New Roman"/>
        </w:rPr>
        <w:t xml:space="preserve">led back to the community in credit. UU no. 21 of 2008 explains that Islamic banking is a BUS and UUS in carrying out economic activities. OJK </w:t>
      </w:r>
      <w:r w:rsidR="009B3DA6">
        <w:rPr>
          <w:rFonts w:ascii="Cambria" w:hAnsi="Cambria" w:cs="Times New Roman"/>
        </w:rPr>
        <w:t>explains</w:t>
      </w:r>
      <w:r w:rsidR="009B3DA6" w:rsidRPr="009B3DA6">
        <w:rPr>
          <w:rFonts w:ascii="Cambria" w:hAnsi="Cambria" w:cs="Times New Roman"/>
        </w:rPr>
        <w:t xml:space="preserve"> that Islamic banks </w:t>
      </w:r>
      <w:r w:rsidR="009B3DA6">
        <w:rPr>
          <w:rFonts w:ascii="Cambria" w:hAnsi="Cambria" w:cs="Times New Roman"/>
        </w:rPr>
        <w:t>aim to participate</w:t>
      </w:r>
      <w:r w:rsidR="009B3DA6" w:rsidRPr="009B3DA6">
        <w:rPr>
          <w:rFonts w:ascii="Cambria" w:hAnsi="Cambria" w:cs="Times New Roman"/>
        </w:rPr>
        <w:t xml:space="preserve"> in fair, shared</w:t>
      </w:r>
      <w:r w:rsidR="009B3DA6">
        <w:rPr>
          <w:rFonts w:ascii="Cambria" w:hAnsi="Cambria" w:cs="Times New Roman"/>
        </w:rPr>
        <w:t>,</w:t>
      </w:r>
      <w:r w:rsidR="009B3DA6" w:rsidRPr="009B3DA6">
        <w:rPr>
          <w:rFonts w:ascii="Cambria" w:hAnsi="Cambria" w:cs="Times New Roman"/>
        </w:rPr>
        <w:t xml:space="preserve"> and equitable national development. In addition, Islamic banks carry out their social functions in the form of </w:t>
      </w:r>
      <w:r w:rsidR="009B3DA6" w:rsidRPr="009B3DA6">
        <w:rPr>
          <w:rFonts w:ascii="Cambria" w:hAnsi="Cambria" w:cs="Times New Roman"/>
          <w:i/>
          <w:iCs/>
        </w:rPr>
        <w:t>baitul mal</w:t>
      </w:r>
      <w:r w:rsidR="009B3DA6" w:rsidRPr="009B3DA6">
        <w:rPr>
          <w:rFonts w:ascii="Cambria" w:hAnsi="Cambria" w:cs="Times New Roman"/>
        </w:rPr>
        <w:t xml:space="preserve">. </w:t>
      </w:r>
      <w:r w:rsidR="009B3DA6">
        <w:rPr>
          <w:rFonts w:ascii="Cambria" w:hAnsi="Cambria" w:cs="Times New Roman"/>
        </w:rPr>
        <w:t>Social procedures are implemented</w:t>
      </w:r>
      <w:r w:rsidR="009B3DA6" w:rsidRPr="009B3DA6">
        <w:rPr>
          <w:rFonts w:ascii="Cambria" w:hAnsi="Cambria" w:cs="Times New Roman"/>
        </w:rPr>
        <w:t xml:space="preserve"> by </w:t>
      </w:r>
      <w:r w:rsidR="009B3DA6">
        <w:rPr>
          <w:rFonts w:ascii="Cambria" w:hAnsi="Cambria" w:cs="Times New Roman"/>
        </w:rPr>
        <w:t>considering</w:t>
      </w:r>
      <w:r w:rsidR="009B3DA6" w:rsidRPr="009B3DA6">
        <w:rPr>
          <w:rFonts w:ascii="Cambria" w:hAnsi="Cambria" w:cs="Times New Roman"/>
        </w:rPr>
        <w:t xml:space="preserve"> the law and the social </w:t>
      </w:r>
      <w:r w:rsidR="009B3DA6">
        <w:rPr>
          <w:rFonts w:ascii="Cambria" w:hAnsi="Cambria" w:cs="Times New Roman"/>
        </w:rPr>
        <w:t>processe</w:t>
      </w:r>
      <w:r w:rsidR="009B3DA6" w:rsidRPr="009B3DA6">
        <w:rPr>
          <w:rFonts w:ascii="Cambria" w:hAnsi="Cambria" w:cs="Times New Roman"/>
        </w:rPr>
        <w:t xml:space="preserve">s </w:t>
      </w:r>
      <w:r w:rsidR="009B3DA6">
        <w:rPr>
          <w:rFonts w:ascii="Cambria" w:hAnsi="Cambria" w:cs="Times New Roman"/>
        </w:rPr>
        <w:t>by</w:t>
      </w:r>
      <w:r w:rsidR="009B3DA6" w:rsidRPr="009B3DA6">
        <w:rPr>
          <w:rFonts w:ascii="Cambria" w:hAnsi="Cambria" w:cs="Times New Roman"/>
        </w:rPr>
        <w:t xml:space="preserve"> the provisions of </w:t>
      </w:r>
      <w:r w:rsidR="009B3DA6">
        <w:rPr>
          <w:rFonts w:ascii="Cambria" w:hAnsi="Cambria" w:cs="Times New Roman"/>
        </w:rPr>
        <w:t>rule</w:t>
      </w:r>
      <w:r w:rsidR="009B3DA6" w:rsidRPr="009B3DA6">
        <w:rPr>
          <w:rFonts w:ascii="Cambria" w:hAnsi="Cambria" w:cs="Times New Roman"/>
        </w:rPr>
        <w:t>s and regulations and fatwas of sharia institutions.</w:t>
      </w:r>
    </w:p>
    <w:p w14:paraId="0B421626" w14:textId="6D65F54E" w:rsidR="009B3DA6" w:rsidRPr="009B3DA6" w:rsidRDefault="00286EB7" w:rsidP="009B3DA6">
      <w:pPr>
        <w:pStyle w:val="ISI"/>
        <w:ind w:firstLine="426"/>
        <w:rPr>
          <w:rFonts w:cs="Times New Roman"/>
          <w:iCs/>
        </w:rPr>
      </w:pPr>
      <w:r w:rsidRPr="00E96528">
        <w:rPr>
          <w:rFonts w:cs="Times New Roman"/>
        </w:rPr>
        <w:fldChar w:fldCharType="begin" w:fldLock="1"/>
      </w:r>
      <w:r w:rsidR="00E96528">
        <w:rPr>
          <w:rFonts w:cs="Times New Roman"/>
        </w:rPr>
        <w:instrText>ADDIN CSL_CITATION {"citationItems":[{"id":"ITEM-1","itemData":{"DOI":"10.1080/20430795.2020.1803665","ISSN":"2043-0795","author":[{"dropping-particle":"","family":"Parsa","given":"Mirwais","non-dropping-particle":"","parse-names":false,"suffix":""}],"container-title":"Journal of Sustainable Finance &amp; Investment","id":"ITEM-1","issue":"3","issued":{"date-parts":[["2022","7"]]},"page":"849-869","publisher":"Taylor &amp; Francis","title":"Efficiency and stability of Islamic vs. conventional banking models: a meta frontier analysis","type":"article-journal","volume":"12"},"uris":["http://www.mendeley.com/documents/?uuid=5e1f774f-fcce-4d77-809c-0d5aeaa9874d","http://www.mendeley.com/documents/?uuid=a5739e6d-53c9-4075-aab2-9f8bd3961b55"]}],"mendeley":{"formattedCitation":"(Parsa, 2022)","manualFormatting":"Parsa (2022)","plainTextFormattedCitation":"(Parsa, 2022)","previouslyFormattedCitation":"(Parsa, 2022)"},"properties":{"noteIndex":0},"schema":"https://github.com/citation-style-language/schema/raw/master/csl-citation.json"}</w:instrText>
      </w:r>
      <w:r w:rsidRPr="00E96528">
        <w:rPr>
          <w:rFonts w:cs="Times New Roman"/>
        </w:rPr>
        <w:fldChar w:fldCharType="separate"/>
      </w:r>
      <w:r w:rsidRPr="00E96528">
        <w:rPr>
          <w:rFonts w:cs="Times New Roman"/>
          <w:noProof/>
        </w:rPr>
        <w:t xml:space="preserve">Parsa </w:t>
      </w:r>
      <w:r w:rsidRPr="00E96528">
        <w:rPr>
          <w:rFonts w:cs="Times New Roman"/>
          <w:noProof/>
          <w:lang w:val="en-US"/>
        </w:rPr>
        <w:t>(</w:t>
      </w:r>
      <w:r w:rsidRPr="00E96528">
        <w:rPr>
          <w:rFonts w:cs="Times New Roman"/>
          <w:noProof/>
        </w:rPr>
        <w:t>2022)</w:t>
      </w:r>
      <w:r w:rsidRPr="00E96528">
        <w:rPr>
          <w:rFonts w:cs="Times New Roman"/>
        </w:rPr>
        <w:fldChar w:fldCharType="end"/>
      </w:r>
      <w:r>
        <w:rPr>
          <w:rFonts w:cs="Times New Roman"/>
          <w:lang w:val="en-US"/>
        </w:rPr>
        <w:t xml:space="preserve"> </w:t>
      </w:r>
      <w:r w:rsidR="001D2674">
        <w:rPr>
          <w:rFonts w:cs="Times New Roman"/>
        </w:rPr>
        <w:t>explains</w:t>
      </w:r>
      <w:r w:rsidR="009B3DA6" w:rsidRPr="009B3DA6">
        <w:rPr>
          <w:rFonts w:cs="Times New Roman"/>
        </w:rPr>
        <w:t xml:space="preserve"> if the profitability of Islamic banks shows a smaller number than conventional banks. The market share of Islamic banks has shown 5% </w:t>
      </w:r>
      <w:r w:rsidR="001D2674">
        <w:rPr>
          <w:rFonts w:cs="Times New Roman"/>
        </w:rPr>
        <w:t>in</w:t>
      </w:r>
      <w:r w:rsidR="009B3DA6" w:rsidRPr="009B3DA6">
        <w:rPr>
          <w:rFonts w:cs="Times New Roman"/>
        </w:rPr>
        <w:t xml:space="preserve"> the last 5 years, which only grew 1%. In March 2018</w:t>
      </w:r>
      <w:r w:rsidR="001D2674">
        <w:rPr>
          <w:rFonts w:cs="Times New Roman"/>
        </w:rPr>
        <w:t>,</w:t>
      </w:r>
      <w:r w:rsidR="009B3DA6" w:rsidRPr="009B3DA6">
        <w:rPr>
          <w:rFonts w:cs="Times New Roman"/>
        </w:rPr>
        <w:t xml:space="preserve"> this ratio was recorded at 1.23% compared to 2017</w:t>
      </w:r>
      <w:r w:rsidR="001D2674">
        <w:rPr>
          <w:rFonts w:cs="Times New Roman"/>
        </w:rPr>
        <w:t>,</w:t>
      </w:r>
      <w:r w:rsidR="009B3DA6" w:rsidRPr="009B3DA6">
        <w:rPr>
          <w:rFonts w:cs="Times New Roman"/>
        </w:rPr>
        <w:t xml:space="preserve"> which was perched at 1.48%, until finally</w:t>
      </w:r>
      <w:r w:rsidR="001D2674">
        <w:rPr>
          <w:rFonts w:cs="Times New Roman"/>
        </w:rPr>
        <w:t>,</w:t>
      </w:r>
      <w:r w:rsidR="009B3DA6" w:rsidRPr="009B3DA6">
        <w:rPr>
          <w:rFonts w:cs="Times New Roman"/>
        </w:rPr>
        <w:t xml:space="preserve"> in 2019</w:t>
      </w:r>
      <w:r w:rsidR="001D2674">
        <w:rPr>
          <w:rFonts w:cs="Times New Roman"/>
        </w:rPr>
        <w:t>,</w:t>
      </w:r>
      <w:r w:rsidR="009B3DA6" w:rsidRPr="009B3DA6">
        <w:rPr>
          <w:rFonts w:cs="Times New Roman"/>
        </w:rPr>
        <w:t xml:space="preserve"> the market share of the total financing assets disbursed experienced fairly rapid growth, seen in the first achievement in 2019 PYD of 353.9 billion rupiah</w:t>
      </w:r>
      <w:r w:rsidR="001D2674">
        <w:rPr>
          <w:rFonts w:cs="Times New Roman"/>
        </w:rPr>
        <w:t>s</w:t>
      </w:r>
      <w:r w:rsidR="009B3DA6" w:rsidRPr="009B3DA6">
        <w:rPr>
          <w:rFonts w:cs="Times New Roman"/>
        </w:rPr>
        <w:t>. This phenomenon triggered researchers to research to see the factors that trigger the profitability of Islamic banks.</w:t>
      </w:r>
      <w:r w:rsidR="009B3DA6">
        <w:rPr>
          <w:rFonts w:cs="Times New Roman"/>
          <w:lang w:val="en-US"/>
        </w:rPr>
        <w:t xml:space="preserve"> </w:t>
      </w:r>
      <w:r w:rsidRPr="00E96528">
        <w:rPr>
          <w:rFonts w:cs="Times New Roman"/>
          <w:lang w:val="en-US"/>
        </w:rPr>
        <w:fldChar w:fldCharType="begin" w:fldLock="1"/>
      </w:r>
      <w:r w:rsidR="00E96528">
        <w:rPr>
          <w:rFonts w:cs="Times New Roman"/>
          <w:lang w:val="en-US"/>
        </w:rPr>
        <w:instrText>ADDIN CSL_CITATION {"citationItems":[{"id":"ITEM-1","itemData":{"DOI":"10.1108/JIC-10-2018-0171","ISSN":"17587468","abstract":"Purpose: The purpose of this paper is to, the first of its kind, investigate the relationship between the intellectual capital efficiency and organisational performance of the pharmaceutical sector in Bangladesh, an emerging economy that enjoys Trade-Related Aspects of Intellectual Property Rights (TRIPS) relaxation. Design/methodology/approach: The study used hand-picked data from annual reports for five years. The relationship between efficient use of intellectual capital and corporate performance was examined through the practical use of human capital, structural capital and capital employed. Multiple regressions were used to assess their impact on financial performance – specifically, return on assets, return on equity, asset turnover and market-to-book value. Findings: Value-added intellectual coefficient components (i.e. human capital, structural capital and capital employed) significantly explained asset turnover and return on assets but failed to predict the return on equity outcome. Additionally, asset turnover was negatively influenced by structural capital and positively influenced by capital employed. The return on assets was mostly affected by variation in human capital. Intellectual capital did not predict market-to-book value or investment decisions. Practical implications: This paper provides useful resources for evaluating the financial performance and value creation of companies in emerging economies that enjoy TRIPS exemptions; this research could also be extended using cross-industry comparisons. The findings have theoretical and practical implications, particularly for the pharmaceutical industry in emerging economy contexts, and for managers globally. Originality/value: This study is among only a few that have reported on the relationship between intellectual capital efficiency and value creation in emerging economy contexts.","author":[{"dropping-particle":"","family":"Chowdhury","given":"Leena Afroz Mostofa","non-dropping-particle":"","parse-names":false,"suffix":""},{"dropping-particle":"","family":"Rana","given":"Tarek","non-dropping-particle":"","parse-names":false,"suffix":""},{"dropping-particle":"","family":"Azim","given":"Mohammad Istiaq","non-dropping-particle":"","parse-names":false,"suffix":""}],"container-title":"Journal of Intellectual Capital","id":"ITEM-1","issue":"6","issued":{"date-parts":[["2019"]]},"page":"784-806","title":"Intellectual capital efficiency and organisational performance: In the context of the pharmaceutical industry in Bangladesh","type":"article-journal","volume":"20"},"uris":["http://www.mendeley.com/documents/?uuid=7a7ff870-3ef0-497e-976a-b813380327db","http://www.mendeley.com/documents/?uuid=cb8ca47f-d64e-47c5-85c3-6a4c5ad06ba9"]}],"mendeley":{"formattedCitation":"(Chowdhury et al., 2019)","manualFormatting":"Chowdhury et al., (2019)","plainTextFormattedCitation":"(Chowdhury et al., 2019)","previouslyFormattedCitation":"(Chowdhury et al., 2019)"},"properties":{"noteIndex":0},"schema":"https://github.com/citation-style-language/schema/raw/master/csl-citation.json"}</w:instrText>
      </w:r>
      <w:r w:rsidRPr="00E96528">
        <w:rPr>
          <w:rFonts w:cs="Times New Roman"/>
          <w:lang w:val="en-US"/>
        </w:rPr>
        <w:fldChar w:fldCharType="separate"/>
      </w:r>
      <w:r w:rsidRPr="00E96528">
        <w:rPr>
          <w:rFonts w:cs="Times New Roman"/>
          <w:noProof/>
          <w:lang w:val="en-US"/>
        </w:rPr>
        <w:t>Chowdhury et al., (2019)</w:t>
      </w:r>
      <w:r w:rsidRPr="00E96528">
        <w:rPr>
          <w:rFonts w:cs="Times New Roman"/>
          <w:lang w:val="en-US"/>
        </w:rPr>
        <w:fldChar w:fldCharType="end"/>
      </w:r>
      <w:r>
        <w:rPr>
          <w:rFonts w:cs="Times New Roman"/>
          <w:lang w:val="en-US"/>
        </w:rPr>
        <w:t xml:space="preserve"> </w:t>
      </w:r>
      <w:r w:rsidR="001D2674">
        <w:rPr>
          <w:rFonts w:cs="Times New Roman"/>
        </w:rPr>
        <w:t>explai</w:t>
      </w:r>
      <w:r w:rsidR="001D2674" w:rsidRPr="001D2674">
        <w:rPr>
          <w:rFonts w:cs="Times New Roman"/>
        </w:rPr>
        <w:t xml:space="preserve">n that profitability is a measuring tool for banking performance calculated through Return </w:t>
      </w:r>
      <w:proofErr w:type="gramStart"/>
      <w:r w:rsidR="001D2674" w:rsidRPr="001D2674">
        <w:rPr>
          <w:rFonts w:cs="Times New Roman"/>
        </w:rPr>
        <w:t>On</w:t>
      </w:r>
      <w:proofErr w:type="gramEnd"/>
      <w:r w:rsidR="001D2674" w:rsidRPr="001D2674">
        <w:rPr>
          <w:rFonts w:cs="Times New Roman"/>
        </w:rPr>
        <w:t xml:space="preserve"> Assets,</w:t>
      </w:r>
      <w:r w:rsidR="009B3DA6" w:rsidRPr="009B3DA6">
        <w:rPr>
          <w:rFonts w:cs="Times New Roman"/>
          <w:iCs/>
        </w:rPr>
        <w:t xml:space="preserve"> referred to as ROA and Return On Equity</w:t>
      </w:r>
      <w:r w:rsidR="001D2674">
        <w:rPr>
          <w:rFonts w:cs="Times New Roman"/>
          <w:iCs/>
        </w:rPr>
        <w:t>,</w:t>
      </w:r>
      <w:r w:rsidR="009B3DA6" w:rsidRPr="009B3DA6">
        <w:rPr>
          <w:rFonts w:cs="Times New Roman"/>
          <w:iCs/>
        </w:rPr>
        <w:t xml:space="preserve"> referred to </w:t>
      </w:r>
      <w:r w:rsidR="001D2674">
        <w:rPr>
          <w:rFonts w:cs="Times New Roman"/>
          <w:iCs/>
        </w:rPr>
        <w:t xml:space="preserve">as </w:t>
      </w:r>
      <w:r w:rsidR="009B3DA6" w:rsidRPr="009B3DA6">
        <w:rPr>
          <w:rFonts w:cs="Times New Roman"/>
          <w:iCs/>
        </w:rPr>
        <w:t xml:space="preserve">ROE. ROA is a measurement of the return on assets from income after taxation compared to the </w:t>
      </w:r>
      <w:r w:rsidR="009B3DA6">
        <w:rPr>
          <w:rFonts w:cs="Times New Roman"/>
          <w:iCs/>
        </w:rPr>
        <w:t>company's total assets. At the same time,</w:t>
      </w:r>
      <w:r w:rsidR="009B3DA6" w:rsidRPr="009B3DA6">
        <w:rPr>
          <w:rFonts w:cs="Times New Roman"/>
          <w:iCs/>
        </w:rPr>
        <w:t xml:space="preserve"> ROE is a measurement tool </w:t>
      </w:r>
      <w:r w:rsidR="009B3DA6">
        <w:rPr>
          <w:rFonts w:cs="Times New Roman"/>
          <w:iCs/>
        </w:rPr>
        <w:t>in</w:t>
      </w:r>
      <w:r w:rsidR="009B3DA6" w:rsidRPr="009B3DA6">
        <w:rPr>
          <w:rFonts w:cs="Times New Roman"/>
          <w:iCs/>
        </w:rPr>
        <w:t xml:space="preserve"> the eyes of investors compared to the company model.</w:t>
      </w:r>
    </w:p>
    <w:p w14:paraId="015864EF" w14:textId="5AE591C2" w:rsidR="009B3DA6" w:rsidRPr="009B3DA6" w:rsidRDefault="009B3DA6" w:rsidP="009B3DA6">
      <w:pPr>
        <w:pStyle w:val="ISI"/>
        <w:ind w:firstLine="426"/>
        <w:rPr>
          <w:rFonts w:cs="Times New Roman"/>
          <w:iCs/>
        </w:rPr>
      </w:pPr>
      <w:r w:rsidRPr="009B3DA6">
        <w:rPr>
          <w:rFonts w:cs="Times New Roman"/>
          <w:iCs/>
        </w:rPr>
        <w:t xml:space="preserve">Intellectual capital is a factor that triggers profitability </w:t>
      </w:r>
      <w:r>
        <w:rPr>
          <w:rFonts w:cs="Times New Roman"/>
          <w:iCs/>
        </w:rPr>
        <w:t>with</w:t>
      </w:r>
      <w:r w:rsidRPr="009B3DA6">
        <w:rPr>
          <w:rFonts w:cs="Times New Roman"/>
          <w:iCs/>
        </w:rPr>
        <w:t xml:space="preserve"> intellectual property and technology in adding value to the company. </w:t>
      </w:r>
      <w:r>
        <w:rPr>
          <w:rFonts w:cs="Times New Roman"/>
          <w:iCs/>
        </w:rPr>
        <w:t>Therefore, e</w:t>
      </w:r>
      <w:r w:rsidRPr="009B3DA6">
        <w:rPr>
          <w:rFonts w:cs="Times New Roman"/>
          <w:iCs/>
        </w:rPr>
        <w:t xml:space="preserve">very major element of intellectual capital </w:t>
      </w:r>
      <w:r>
        <w:rPr>
          <w:rFonts w:cs="Times New Roman"/>
          <w:iCs/>
        </w:rPr>
        <w:t>directly influences</w:t>
      </w:r>
      <w:r w:rsidRPr="009B3DA6">
        <w:rPr>
          <w:rFonts w:cs="Times New Roman"/>
          <w:iCs/>
        </w:rPr>
        <w:t xml:space="preserve"> profitability. </w:t>
      </w:r>
      <w:r w:rsidRPr="0073152A">
        <w:rPr>
          <w:rFonts w:cs="Times New Roman"/>
          <w:iCs/>
        </w:rPr>
        <w:t xml:space="preserve">The research of </w:t>
      </w:r>
      <w:r w:rsidR="00E96528" w:rsidRPr="0073152A">
        <w:rPr>
          <w:rFonts w:cs="Times New Roman"/>
          <w:iCs/>
        </w:rPr>
        <w:fldChar w:fldCharType="begin" w:fldLock="1"/>
      </w:r>
      <w:r w:rsidR="0073152A" w:rsidRPr="0073152A">
        <w:rPr>
          <w:rFonts w:cs="Times New Roman"/>
          <w:iCs/>
        </w:rPr>
        <w:instrText>ADDIN CSL_CITATION {"citationItems":[{"id":"ITEM-1","itemData":{"DOI":"10.7441/joc.2020.01.10","ISSN":"18041728","abstract":"Intellectual capital (IC) is generally understood as an important driver of firm competitiveness improvement and value generation in the knowledge economy. The manufacturing industry, the backbone of the South Korean economy, is coming under increasing international pressure. In order to increase the competitiveness of Korean industry, the main objective of this paper is to examine the impact of IC and its components on the performance of Korean manufacturing firms over the period 2013–2018. The modified and extended Value Added Intellectual Coefficient (VAIC) model was adopted to more accurately measure IC, and firm performance was systematically and comprehensively measured in three distinct parameters: profitability, productivity and market value. Our regression results show that physical capital was the most influential factor to firm performance; human capital was viewed as a performance enhancing measure; structural capital had no significant impact on firm performance; and innovation capital and relational capital hurt a firm’s profitability. It is also evident that the modified and extended VAIC model performs better than the original VAIC model proposed by Pulic (1998). This study extends the understanding of IC in achieving a competitive edge in the manufacturing sector, with IC representing a valuable platform for the sustainable development of the manufacturing sector in emerging Asian markets.","author":[{"dropping-particle":"","family":"Xu","given":"Jian","non-dropping-particle":"","parse-names":false,"suffix":""},{"dropping-particle":"","family":"Liu","given":"Feng","non-dropping-particle":"","parse-names":false,"suffix":""}],"container-title":"Journal of Competitiveness","id":"ITEM-1","issue":"1","issued":{"date-parts":[["2020"]]},"page":"161-176","title":"The impact of intellectual capital on firm performance: A modified and extended vaic model","type":"article-journal","volume":"12"},"uris":["http://www.mendeley.com/documents/?uuid=46b7b864-74ce-4393-a5b7-91f03825c640"]},{"id":"ITEM-2","itemData":{"DOI":"10.1155/2021/3425725","ISSN":"10990526","abstract":"This paper is intended to investigate the role of Venture-Capital Syndication VCSTh background in the relationship between intellectual capital (ICTh and portfolio firm performance (PFPTh; specifically, this article examines the moderating effect of VCS's leading firm background and member heterogeneity on the effect of IC on PFP. This study used a modified VAIC model to measure IC to compose a 4-component variable including human capital, structural capital, relational capital, and innovation capital. The data were collected from VCS-backed and listed firms in China during 2014 to 2018 applying the pooled OLS model for hypotheses test, Generalized Method of Moments (GMMsTh to reduce endogeneity and unobserved factor control, and also return on equity (ROETh instead of ROA for the robustness test. Empirical results showed that IC and its components can improve PFP for VCS-backed firms in China; in detail, IC showed greater impact on performance of firms invested by foreign lead investors than in private or government VCS, specially reflected in the impact of innovation capital on PFP. Furthermore, IC showed weaker impact on PFP of mixed VCS-backed firms compared to pure VCS-backed firms and showed diminished effect on higher VCS member heterogeneity mainly reflected in the impact of relational capital on firm performance. These findings propose a new way of combining IC and VC to improve firm performance and are beneficial to theoretical development of IC and VC as well as a perspective for VC firm managers to choose suitable partners prior to join a VCS.","author":[{"dropping-particle":"","family":"Lu","given":"Yuzhong","non-dropping-particle":"","parse-names":false,"suffix":""},{"dropping-particle":"","family":"Tian","given":"Zengrui","non-dropping-particle":"","parse-names":false,"suffix":""},{"dropping-particle":"","family":"Buitrago","given":"Guillermo Andres","non-dropping-particle":"","parse-names":false,"suffix":""},{"dropping-particle":"","family":"Gao","given":"Shuiwen","non-dropping-particle":"","parse-names":false,"suffix":""},{"dropping-particle":"","family":"Zhao","given":"Yuanjun","non-dropping-particle":"","parse-names":false,"suffix":""},{"dropping-particle":"","family":"Zhang","given":"Shuai","non-dropping-particle":"","parse-names":false,"suffix":""}],"container-title":"Complexity","id":"ITEM-2","issued":{"date-parts":[["2021"]]},"page":"1-17","title":"Intellectual capital and firm performance in the context of venture-capital syndication background in china","type":"article-journal","volume":"2021"},"uris":["http://www.mendeley.com/documents/?uuid=a8bfcb25-1c7c-44f6-b6f9-7657ed1ebbdb"]}],"mendeley":{"formattedCitation":"(Lu et al., 2021; Xu &amp; Liu, 2020)","manualFormatting":"Lu et al., (2021) and Xu &amp; Liu, (2020)","plainTextFormattedCitation":"(Lu et al., 2021; Xu &amp; Liu, 2020)","previouslyFormattedCitation":"(Lu et al., 2021; Xu &amp; Liu, 2020)"},"properties":{"noteIndex":0},"schema":"https://github.com/citation-style-language/schema/raw/master/csl-citation.json"}</w:instrText>
      </w:r>
      <w:r w:rsidR="00E96528" w:rsidRPr="0073152A">
        <w:rPr>
          <w:rFonts w:cs="Times New Roman"/>
          <w:iCs/>
        </w:rPr>
        <w:fldChar w:fldCharType="separate"/>
      </w:r>
      <w:r w:rsidR="00E96528" w:rsidRPr="0073152A">
        <w:rPr>
          <w:rFonts w:cs="Times New Roman"/>
          <w:iCs/>
          <w:noProof/>
        </w:rPr>
        <w:t xml:space="preserve">Lu et al., </w:t>
      </w:r>
      <w:r w:rsidR="00E96528" w:rsidRPr="0073152A">
        <w:rPr>
          <w:rFonts w:cs="Times New Roman"/>
          <w:iCs/>
          <w:noProof/>
          <w:lang w:val="en-US"/>
        </w:rPr>
        <w:t>(</w:t>
      </w:r>
      <w:r w:rsidR="00E96528" w:rsidRPr="0073152A">
        <w:rPr>
          <w:rFonts w:cs="Times New Roman"/>
          <w:iCs/>
          <w:noProof/>
        </w:rPr>
        <w:t>2021</w:t>
      </w:r>
      <w:r w:rsidR="00E96528" w:rsidRPr="0073152A">
        <w:rPr>
          <w:rFonts w:cs="Times New Roman"/>
          <w:iCs/>
          <w:noProof/>
          <w:lang w:val="en-US"/>
        </w:rPr>
        <w:t>) and</w:t>
      </w:r>
      <w:r w:rsidR="00E96528" w:rsidRPr="0073152A">
        <w:rPr>
          <w:rFonts w:cs="Times New Roman"/>
          <w:iCs/>
          <w:noProof/>
        </w:rPr>
        <w:t xml:space="preserve"> Xu &amp; Liu, </w:t>
      </w:r>
      <w:r w:rsidR="00E96528" w:rsidRPr="0073152A">
        <w:rPr>
          <w:rFonts w:cs="Times New Roman"/>
          <w:iCs/>
          <w:noProof/>
          <w:lang w:val="en-US"/>
        </w:rPr>
        <w:t>(</w:t>
      </w:r>
      <w:r w:rsidR="00E96528" w:rsidRPr="0073152A">
        <w:rPr>
          <w:rFonts w:cs="Times New Roman"/>
          <w:iCs/>
          <w:noProof/>
        </w:rPr>
        <w:t>2020)</w:t>
      </w:r>
      <w:r w:rsidR="00E96528" w:rsidRPr="0073152A">
        <w:rPr>
          <w:rFonts w:cs="Times New Roman"/>
          <w:iCs/>
        </w:rPr>
        <w:fldChar w:fldCharType="end"/>
      </w:r>
      <w:r w:rsidRPr="0073152A">
        <w:rPr>
          <w:rFonts w:cs="Times New Roman"/>
          <w:iCs/>
        </w:rPr>
        <w:t>, gave influential results, while</w:t>
      </w:r>
      <w:r w:rsidR="0073152A" w:rsidRPr="0073152A">
        <w:rPr>
          <w:rFonts w:cs="Times New Roman"/>
          <w:iCs/>
          <w:lang w:val="en-US"/>
        </w:rPr>
        <w:t xml:space="preserve"> </w:t>
      </w:r>
      <w:r w:rsidR="0073152A" w:rsidRPr="0073152A">
        <w:rPr>
          <w:rFonts w:cs="Times New Roman"/>
          <w:iCs/>
          <w:lang w:val="en-US"/>
        </w:rPr>
        <w:fldChar w:fldCharType="begin" w:fldLock="1"/>
      </w:r>
      <w:r w:rsidR="00115C39">
        <w:rPr>
          <w:rFonts w:cs="Times New Roman"/>
          <w:iCs/>
          <w:lang w:val="en-US"/>
        </w:rPr>
        <w:instrText>ADDIN CSL_CITATION {"citationItems":[{"id":"ITEM-1","itemData":{"DOI":"10.1155/2021/9004907","ISSN":"10990526","abstract":"Intellectual capital (IC) is reckoned as a significant driving force of competitive advantage and financial sustainability of any organization. The study's objective is to explore the nonlinear effect of IC and its components on financial performance (FP) of China's listed shipping companies over a six-year period (2014-2019). The modified Value Added Intellectual Coefficient (MVAIC) model is used to systematically assess IC. The empirical results show an inverted U-shaped relationship between the aggregate IC and FP (measured through return on assets). Regarding IC components, human, relational, and innovation capitals have an inverted U-shaped relationship with FP, while the quadratic relationship between structural capital and FP is not significant. In addition, physical capital has a U-shaped relationship with FP. This study will offer some new insights for corporate managers to improve firms' FP by effectively utilizing their IC resources.","author":[{"dropping-particle":"","family":"Xu","given":"Jian","non-dropping-particle":"","parse-names":false,"suffix":""},{"dropping-particle":"","family":"Zhang","given":"Yi","non-dropping-particle":"","parse-names":false,"suffix":""}],"container-title":"Complexity","id":"ITEM-1","issued":{"date-parts":[["2021"]]},"title":"Exploring the Nonlinear Effect of Intellectual Capital on Financial Performance: Evidence from Listed Shipping Companies in China","type":"article-journal","volume":"2021"},"uris":["http://www.mendeley.com/documents/?uuid=f6d83b22-6bc7-48ed-9bff-2a2102ab308e"]},{"id":"ITEM-2","itemData":{"DOI":"10.3390/agronomy11091872","ISSN":"20734395","abstract":"Intellectual capital (IC) has become a crucial strategic resource in the knowledge economy. The purpose of this study is to understand the IC-financial performance relationship of listed Chinese agricultural companies. This paper uses the original value added intellectual coefficient (VAIC) model, the adjusted VAIC (AVAIC) model, and the modified VAIC (MVAIC) model to measure IC. The results show a positive and significant relationship between IC and financial performance (return on assets and return on equity) in three models. Additionally, human capital and physical capital are two major driving forces. In the AVAIC model, innovation capital exerts a positive impact on financial performance, whereas this impact is not significant at the 5% level in the MVAIC model. The results suggest that further improvements in IC measurement are still needed. This study has important implications for both academia and industry regarding IC measurement.","author":[{"dropping-particle":"","family":"Xu","given":"Jian","non-dropping-particle":"","parse-names":false,"suffix":""},{"dropping-particle":"","family":"Zhang","given":"Yi","non-dropping-particle":"","parse-names":false,"suffix":""}],"container-title":"Agronomy","id":"ITEM-2","issue":"9","issued":{"date-parts":[["2021"]]},"page":"1-18","title":"Does intellectual capital measurement matter in financial performance? An investigation of chinese agricultural listed companies","type":"article-journal","volume":"11"},"uris":["http://www.mendeley.com/documents/?uuid=99415e9f-2bf7-492f-91c8-e8bcb2788983"]}],"mendeley":{"formattedCitation":"(Xu &amp; Zhang, 2021b, 2021a)","manualFormatting":"Xu &amp; Zhang, (2021b) and (2021a)","plainTextFormattedCitation":"(Xu &amp; Zhang, 2021b, 2021a)","previouslyFormattedCitation":"(Xu &amp; Zhang, 2021b, 2021a)"},"properties":{"noteIndex":0},"schema":"https://github.com/citation-style-language/schema/raw/master/csl-citation.json"}</w:instrText>
      </w:r>
      <w:r w:rsidR="0073152A" w:rsidRPr="0073152A">
        <w:rPr>
          <w:rFonts w:cs="Times New Roman"/>
          <w:iCs/>
          <w:lang w:val="en-US"/>
        </w:rPr>
        <w:fldChar w:fldCharType="separate"/>
      </w:r>
      <w:r w:rsidR="0073152A" w:rsidRPr="0073152A">
        <w:rPr>
          <w:rFonts w:cs="Times New Roman"/>
          <w:iCs/>
          <w:noProof/>
          <w:lang w:val="en-US"/>
        </w:rPr>
        <w:t>Xu &amp; Zhang, (2021b) and (2021a)</w:t>
      </w:r>
      <w:r w:rsidR="0073152A" w:rsidRPr="0073152A">
        <w:rPr>
          <w:rFonts w:cs="Times New Roman"/>
          <w:iCs/>
          <w:lang w:val="en-US"/>
        </w:rPr>
        <w:fldChar w:fldCharType="end"/>
      </w:r>
      <w:r w:rsidR="0073152A" w:rsidRPr="0073152A">
        <w:rPr>
          <w:rFonts w:cs="Times New Roman"/>
          <w:iCs/>
          <w:lang w:val="en-US"/>
        </w:rPr>
        <w:t xml:space="preserve">, </w:t>
      </w:r>
      <w:r w:rsidRPr="0073152A">
        <w:rPr>
          <w:rFonts w:cs="Times New Roman"/>
          <w:iCs/>
        </w:rPr>
        <w:t>gave no effect.</w:t>
      </w:r>
    </w:p>
    <w:p w14:paraId="675E5BEE" w14:textId="723FAB4B" w:rsidR="009B3DA6" w:rsidRDefault="009B3DA6" w:rsidP="009B3DA6">
      <w:pPr>
        <w:pStyle w:val="ISI"/>
        <w:ind w:firstLine="426"/>
        <w:rPr>
          <w:rFonts w:cs="Times New Roman"/>
          <w:iCs/>
        </w:rPr>
      </w:pPr>
      <w:r w:rsidRPr="009B3DA6">
        <w:rPr>
          <w:rFonts w:cs="Times New Roman"/>
          <w:iCs/>
        </w:rPr>
        <w:t xml:space="preserve">Zakat performance ratio is one </w:t>
      </w:r>
      <w:r>
        <w:rPr>
          <w:rFonts w:cs="Times New Roman"/>
          <w:iCs/>
        </w:rPr>
        <w:t>factor that triggers</w:t>
      </w:r>
      <w:r w:rsidRPr="009B3DA6">
        <w:rPr>
          <w:rFonts w:cs="Times New Roman"/>
          <w:iCs/>
        </w:rPr>
        <w:t xml:space="preserve"> profitability. </w:t>
      </w:r>
      <w:r w:rsidR="00793D14" w:rsidRPr="0073152A">
        <w:rPr>
          <w:rFonts w:cs="Times New Roman"/>
          <w:iCs/>
        </w:rPr>
        <w:fldChar w:fldCharType="begin" w:fldLock="1"/>
      </w:r>
      <w:r w:rsidR="00E96528" w:rsidRPr="0073152A">
        <w:rPr>
          <w:rFonts w:cs="Times New Roman"/>
          <w:iCs/>
        </w:rPr>
        <w:instrText>ADDIN CSL_CITATION {"citationItems":[{"id":"ITEM-1","itemData":{"DOI":"10.1108/IJIF-08-2018-0088","ISSN":"0128-1976","abstract":"Purpose-This paper considers zakat (Islamic tax) as an alternative indicator to measure the performance of Islamic banks (IBs). It aims to examine whether zakat ratios can be used as Islamic performance (ISPER) indicators for IBs besides the conventional performance (COPER) indicators. Design/methodology/approach-The investigation covered a sample of 214 yearly observations of 37 IBs located in Indonesia, Malaysia, Bahrain, Saudi Arabia and the United Arab Emirates for the period 2007-2015. This study used a single-factor congeneric model and confirmatory factor analysis, performed using the AMOS 23.0 software. Findings-The findings assert that the discriminant validity of multi-bank performance, as measured by ISPER [zakat on assets (ZOA) and zakat on equity (ZOE)] and COPER indicators (return on assets, return on equity and operational efficiency in terms of assets), is very high. Hence, ISPER and COPER measurements are valid, either together to measure the multi-performance of IBs from both the Islamic and conventional perspectives, or independently as each measurement is valid to measure the Islamic and conventional performance if it is used separately. Research limitations/implications-This paper does not investigate whether the findings are constant across time. This represents one of the limitations of this study. Practical implications-It is strongly recommended that IBs calculate and disclose zakat ratios, particularly ZOA and ZOE, in their annual reports. Researchers and academicians should use these ratios for measuring the ISPER of IBs, either along with COPER or separately. Originality/value-Empirical evidence is provided in this paper on the development and validity of zakat ratios as ISPER indicators in the Islamic banking industry. Zakat ratios are suitable indicators that can measure IBs' performance and achieve the goals of IBs as well as those of Islamic economics.","author":[{"dropping-particle":"","family":"Nomran","given":"Naji Mansour","non-dropping-particle":"","parse-names":false,"suffix":""},{"dropping-particle":"","family":"Haron","given":"Razali","non-dropping-particle":"","parse-names":false,"suffix":""}],"container-title":"ISRA International Journal of Islamic Finance","id":"ITEM-1","issue":"1","issued":{"date-parts":[["2022"]]},"page":"38-58","title":"Validity of zakat ratios as Islamic performance indicators in Islamic banking: a congeneric model and confirmatory factor analysis","type":"article-journal","volume":"14"},"uris":["http://www.mendeley.com/documents/?uuid=03a90268-37f7-3e68-bb9b-f7c75780f236","http://www.mendeley.com/documents/?uuid=a857de48-6ecc-4830-afcb-b82a221cd098"]}],"mendeley":{"formattedCitation":"(Nomran &amp; Haron, 2022)","manualFormatting":"Nomran &amp; Haron (2022)","plainTextFormattedCitation":"(Nomran &amp; Haron, 2022)","previouslyFormattedCitation":"(Nomran &amp; Haron, 2022)"},"properties":{"noteIndex":0},"schema":"https://github.com/citation-style-language/schema/raw/master/csl-citation.json"}</w:instrText>
      </w:r>
      <w:r w:rsidR="00793D14" w:rsidRPr="0073152A">
        <w:rPr>
          <w:rFonts w:cs="Times New Roman"/>
          <w:iCs/>
        </w:rPr>
        <w:fldChar w:fldCharType="separate"/>
      </w:r>
      <w:r w:rsidR="00793D14" w:rsidRPr="0073152A">
        <w:rPr>
          <w:rFonts w:cs="Times New Roman"/>
          <w:iCs/>
          <w:noProof/>
        </w:rPr>
        <w:t>Nomran &amp; Haron</w:t>
      </w:r>
      <w:r w:rsidR="00793D14" w:rsidRPr="0073152A">
        <w:rPr>
          <w:rFonts w:cs="Times New Roman"/>
          <w:iCs/>
          <w:noProof/>
          <w:lang w:val="en-US"/>
        </w:rPr>
        <w:t xml:space="preserve"> (</w:t>
      </w:r>
      <w:r w:rsidR="00793D14" w:rsidRPr="0073152A">
        <w:rPr>
          <w:rFonts w:cs="Times New Roman"/>
          <w:iCs/>
          <w:noProof/>
        </w:rPr>
        <w:t>2022)</w:t>
      </w:r>
      <w:r w:rsidR="00793D14" w:rsidRPr="0073152A">
        <w:rPr>
          <w:rFonts w:cs="Times New Roman"/>
          <w:iCs/>
        </w:rPr>
        <w:fldChar w:fldCharType="end"/>
      </w:r>
      <w:r w:rsidR="00793D14">
        <w:rPr>
          <w:rFonts w:cs="Times New Roman"/>
          <w:iCs/>
          <w:lang w:val="en-US"/>
        </w:rPr>
        <w:t xml:space="preserve"> </w:t>
      </w:r>
      <w:r w:rsidRPr="009B3DA6">
        <w:rPr>
          <w:rFonts w:cs="Times New Roman"/>
          <w:iCs/>
        </w:rPr>
        <w:t xml:space="preserve">explains that </w:t>
      </w:r>
      <w:r>
        <w:rPr>
          <w:rFonts w:cs="Times New Roman"/>
          <w:iCs/>
        </w:rPr>
        <w:t>Z</w:t>
      </w:r>
      <w:r w:rsidRPr="009B3DA6">
        <w:rPr>
          <w:rFonts w:cs="Times New Roman"/>
          <w:iCs/>
        </w:rPr>
        <w:t xml:space="preserve">akat </w:t>
      </w:r>
      <w:r>
        <w:rPr>
          <w:rFonts w:cs="Times New Roman"/>
          <w:iCs/>
        </w:rPr>
        <w:t>substitutes</w:t>
      </w:r>
      <w:r w:rsidRPr="009B3DA6">
        <w:rPr>
          <w:rFonts w:cs="Times New Roman"/>
          <w:iCs/>
        </w:rPr>
        <w:t xml:space="preserve"> conventional performance indicators, so the more assets, the more </w:t>
      </w:r>
      <w:r>
        <w:rPr>
          <w:rFonts w:cs="Times New Roman"/>
          <w:iCs/>
        </w:rPr>
        <w:t>Z</w:t>
      </w:r>
      <w:r w:rsidRPr="009B3DA6">
        <w:rPr>
          <w:rFonts w:cs="Times New Roman"/>
          <w:iCs/>
        </w:rPr>
        <w:t xml:space="preserve">akat that must be paid. </w:t>
      </w:r>
      <w:r w:rsidRPr="00BF5210">
        <w:rPr>
          <w:rFonts w:cs="Times New Roman"/>
          <w:iCs/>
        </w:rPr>
        <w:t xml:space="preserve">The research of </w:t>
      </w:r>
      <w:r w:rsidR="00115C39" w:rsidRPr="00BF5210">
        <w:rPr>
          <w:rFonts w:cs="Times New Roman"/>
          <w:iCs/>
        </w:rPr>
        <w:fldChar w:fldCharType="begin" w:fldLock="1"/>
      </w:r>
      <w:r w:rsidR="00EC7903" w:rsidRPr="00BF5210">
        <w:rPr>
          <w:rFonts w:cs="Times New Roman"/>
          <w:iCs/>
        </w:rPr>
        <w:instrText>ADDIN CSL_CITATION {"citationItems":[{"id":"ITEM-1","itemData":{"DOI":"10.1080/23322039.2020.1778406","ISSN":"23322039","abstract":"This study aims to empirically examine the relationship between the extent of voluntary disclosure level and profitability of Yemeni Islamic banks. This article adopted a self-constructed disclosure index, composed of 266 items, to measure the level of voluntary disclosure information and its association with the profitability of 30 annual reports of Yemeni Islamic banks, over a ten-year reporting period from 2005 up to 2014. The results with regard to return on assets (ROA) show that background about the Islamic bank, corporate governance information, corporate social disclosure, bank size, and bank age have a negative and significant relationship with return on assets. Concerning return on equity (ROE), the outcomes reveal that background about the Islamic bank, financial ratios, corporate governance information, corporate social disclosure, zakat information, and bank size have a negative and significant effect with return on equity. With respect to profit after tax (PAT), the results indicate that background about the Islamic bank, corporate social disclosure, and bank age has a negative and significant effect with profit after tax. The research mentions that regulatory bodies and managers should develop a guideline for disclosure of information to enhance the relationship between disclosure and profitability among Yemeni Islamic banks, leading to reasonable economic decision-making. This article provides important insights into the largely unexplored voluntary publication of Islamic banks ‘ annual reports in Yemen. The research also represents the first empirical inquiry into the correlation in the context of Yemen between the rate of voluntary disclosures and the attributes of profitability.","author":[{"dropping-particle":"","family":"Al-Homaidi","given":"Eissa A.","non-dropping-particle":"","parse-names":false,"suffix":""},{"dropping-particle":"","family":"Tabash","given":"Mosab I.","non-dropping-particle":"","parse-names":false,"suffix":""},{"dropping-particle":"","family":"Ahmad","given":"Anwar","non-dropping-particle":"","parse-names":false,"suffix":""}],"container-title":"Cogent Economics and Finance","id":"ITEM-1","issue":"1","issued":{"date-parts":[["2020"]]},"publisher":"Cogent","title":"The profitability of islamic banks and voluntary disclosure: empirical insights from Yemen","type":"article-journal","volume":"8"},"uris":["http://www.mendeley.com/documents/?uuid=013b51bc-5853-491f-afe8-a6151dd20b85"]},{"id":"ITEM-2","itemData":{"DOI":"10.1108/IJIF-08-2018-0088","ISSN":"0128-1976","abstract":"Purpose-This paper considers zakat (Islamic tax) as an alternative indicator to measure the performance of Islamic banks (IBs). It aims to examine whether zakat ratios can be used as Islamic performance (ISPER) indicators for IBs besides the conventional performance (COPER) indicators. Design/methodology/approach-The investigation covered a sample of 214 yearly observations of 37 IBs located in Indonesia, Malaysia, Bahrain, Saudi Arabia and the United Arab Emirates for the period 2007-2015. This study used a single-factor congeneric model and confirmatory factor analysis, performed using the AMOS 23.0 software. Findings-The findings assert that the discriminant validity of multi-bank performance, as measured by ISPER [zakat on assets (ZOA) and zakat on equity (ZOE)] and COPER indicators (return on assets, return on equity and operational efficiency in terms of assets), is very high. Hence, ISPER and COPER measurements are valid, either together to measure the multi-performance of IBs from both the Islamic and conventional perspectives, or independently as each measurement is valid to measure the Islamic and conventional performance if it is used separately. Research limitations/implications-This paper does not investigate whether the findings are constant across time. This represents one of the limitations of this study. Practical implications-It is strongly recommended that IBs calculate and disclose zakat ratios, particularly ZOA and ZOE, in their annual reports. Researchers and academicians should use these ratios for measuring the ISPER of IBs, either along with COPER or separately. Originality/value-Empirical evidence is provided in this paper on the development and validity of zakat ratios as ISPER indicators in the Islamic banking industry. Zakat ratios are suitable indicators that can measure IBs' performance and achieve the goals of IBs as well as those of Islamic economics.","author":[{"dropping-particle":"","family":"Nomran","given":"Naji Mansour","non-dropping-particle":"","parse-names":false,"suffix":""},{"dropping-particle":"","family":"Haron","given":"Razali","non-dropping-particle":"","parse-names":false,"suffix":""}],"container-title":"ISRA International Journal of Islamic Finance","id":"ITEM-2","issue":"1","issued":{"date-parts":[["2022"]]},"page":"38-58","title":"Validity of zakat ratios as Islamic performance indicators in Islamic banking: a congeneric model and confirmatory factor analysis","type":"article-journal","volume":"14"},"uris":["http://www.mendeley.com/documents/?uuid=a857de48-6ecc-4830-afcb-b82a221cd098"]}],"mendeley":{"formattedCitation":"(Al-Homaidi et al., 2020; Nomran &amp; Haron, 2022)","manualFormatting":"Al-Homaidi et al., (2020 and Nomran &amp; Haron, (2022)","plainTextFormattedCitation":"(Al-Homaidi et al., 2020; Nomran &amp; Haron, 2022)","previouslyFormattedCitation":"(Al-Homaidi et al., 2020; Nomran &amp; Haron, 2022)"},"properties":{"noteIndex":0},"schema":"https://github.com/citation-style-language/schema/raw/master/csl-citation.json"}</w:instrText>
      </w:r>
      <w:r w:rsidR="00115C39" w:rsidRPr="00BF5210">
        <w:rPr>
          <w:rFonts w:cs="Times New Roman"/>
          <w:iCs/>
        </w:rPr>
        <w:fldChar w:fldCharType="separate"/>
      </w:r>
      <w:r w:rsidR="00115C39" w:rsidRPr="00BF5210">
        <w:rPr>
          <w:rFonts w:cs="Times New Roman"/>
          <w:iCs/>
          <w:noProof/>
        </w:rPr>
        <w:t xml:space="preserve">Al-Homaidi et al., </w:t>
      </w:r>
      <w:r w:rsidR="00115C39" w:rsidRPr="00BF5210">
        <w:rPr>
          <w:rFonts w:cs="Times New Roman"/>
          <w:iCs/>
          <w:noProof/>
          <w:lang w:val="en-US"/>
        </w:rPr>
        <w:t>(</w:t>
      </w:r>
      <w:r w:rsidR="00115C39" w:rsidRPr="00BF5210">
        <w:rPr>
          <w:rFonts w:cs="Times New Roman"/>
          <w:iCs/>
          <w:noProof/>
        </w:rPr>
        <w:t>2020</w:t>
      </w:r>
      <w:r w:rsidR="00115C39" w:rsidRPr="00BF5210">
        <w:rPr>
          <w:rFonts w:cs="Times New Roman"/>
          <w:iCs/>
          <w:noProof/>
          <w:lang w:val="en-US"/>
        </w:rPr>
        <w:t xml:space="preserve"> and</w:t>
      </w:r>
      <w:r w:rsidR="00115C39" w:rsidRPr="00BF5210">
        <w:rPr>
          <w:rFonts w:cs="Times New Roman"/>
          <w:iCs/>
          <w:noProof/>
        </w:rPr>
        <w:t xml:space="preserve"> Nomran &amp; Haron, </w:t>
      </w:r>
      <w:r w:rsidR="00115C39" w:rsidRPr="00BF5210">
        <w:rPr>
          <w:rFonts w:cs="Times New Roman"/>
          <w:iCs/>
          <w:noProof/>
          <w:lang w:val="en-US"/>
        </w:rPr>
        <w:t>(</w:t>
      </w:r>
      <w:r w:rsidR="00115C39" w:rsidRPr="00BF5210">
        <w:rPr>
          <w:rFonts w:cs="Times New Roman"/>
          <w:iCs/>
          <w:noProof/>
        </w:rPr>
        <w:t>2022)</w:t>
      </w:r>
      <w:r w:rsidR="00115C39" w:rsidRPr="00BF5210">
        <w:rPr>
          <w:rFonts w:cs="Times New Roman"/>
          <w:iCs/>
        </w:rPr>
        <w:fldChar w:fldCharType="end"/>
      </w:r>
      <w:r w:rsidRPr="00BF5210">
        <w:rPr>
          <w:rFonts w:cs="Times New Roman"/>
          <w:iCs/>
        </w:rPr>
        <w:t>, gave effective results, while the study of</w:t>
      </w:r>
      <w:r w:rsidR="00EC7903" w:rsidRPr="00BF5210">
        <w:rPr>
          <w:rFonts w:cs="Times New Roman"/>
          <w:iCs/>
          <w:lang w:val="en-US"/>
        </w:rPr>
        <w:t xml:space="preserve"> </w:t>
      </w:r>
      <w:r w:rsidR="00EC7903" w:rsidRPr="00BF5210">
        <w:rPr>
          <w:rFonts w:cs="Times New Roman"/>
          <w:iCs/>
          <w:lang w:val="en-US"/>
        </w:rPr>
        <w:fldChar w:fldCharType="begin" w:fldLock="1"/>
      </w:r>
      <w:r w:rsidR="00EC7903" w:rsidRPr="00BF5210">
        <w:rPr>
          <w:rFonts w:cs="Times New Roman"/>
          <w:iCs/>
          <w:lang w:val="en-US"/>
        </w:rPr>
        <w:instrText>ADDIN CSL_CITATION {"citationItems":[{"id":"ITEM-1","itemData":{"DOI":"10.1007/s10479-021-04038-8","ISBN":"0123456789","ISSN":"15729338","abstract":"This paper investigates the variation in nonperforming loans over the economic cycle and the effect of past returns based on a nonparametric quantile analysis of the largest Islamic banks in the United Kingdom and Turkey from 2010 to 2019. The findings show a weak variation in nonperforming loans that increases with an increasing return on assets and a decreasing return on equity and decreases in an inverse scenario. As a result, the credit risk of Islamic banks is countercyclical. We suggest that the inverse relationships evidence the existence of trade-offs within bank returns and credit risk. Thus, banks’ past profitability and risk mitigation are determinants of asset quality. These findings provide support for risk-taking and risk-sharing principles in which flight-to-safety mirrors the calibration of risk factors in a disruptive economy. Our estimates indicate that nonparametric quantile regression captures considerably more variation in a risk-return analysis.","author":[{"dropping-particle":"","family":"Bouheni","given":"Faten","non-dropping-particle":"Ben","parse-names":false,"suffix":""},{"dropping-particle":"","family":"Obeid","given":"Hassan","non-dropping-particle":"","parse-names":false,"suffix":""},{"dropping-particle":"","family":"Margarint","given":"Elena","non-dropping-particle":"","parse-names":false,"suffix":""}],"container-title":"Annals of Operations Research","id":"ITEM-1","issue":"0123456789","issued":{"date-parts":[["2021"]]},"publisher":"Springer US","title":"Nonperforming loan of European Islamic banks over the economic cycle","type":"book"},"uris":["http://www.mendeley.com/documents/?uuid=bb12dedf-6674-4c70-be4d-94af3051d0fe"]},{"id":"ITEM-2","itemData":{"DOI":"10.1108/JIABR-05-2017-0070","ISSN":"17590825","abstract":"Purpose: This study aims to empirically examine whether there is any optimal Shari’ah supervisory board’s (SSB) size that maximizes performance of Islamic banks (IBs). Apparently, IBs adopt different SSB size based on their different regulations across jurisdictions, and then it is still questionable whether there is any optimal SSB size that can fit all and be recommended to IBs. Design/methodology/approach: The paper investigates the impact of different SSB size on IBs performance using a sample of 113 banks over 23 countries for the period 2007-2015 based on the generalized method of moments estimator. Findings: The empirical evidence documented in this study strongly highlights the importance of small SSB size in enhancing the performance of IBs as compared to the large board size. The findings confirm that the SSB size of IBs should neither be lesser than three nor greater than six. More specifically, it is found that the optimal SSB size seems to be five. Research limitations/implications: First, the study does not investigate whether the findings are constant during crisis and non-crisis periods. Second, the optimal SSB size in IBs should be confirmed from the risk-taking perspective besides performance. Practical implications: For both the IBs and the regulators, they should give due importance to small SSB size as an important element for improving the IBs performance. It is strongly recommended for the IBs to have a SSB size between three and six, and five is the most recommended. The Accounting and Auditing Organization for Islamic Financial Institutions also should revise their existing standards that only suggest the minimum SSB size of three to include the maximum size of six and the optimal size of five. Originality/value: Despite the SSB size plays an important role in affecting the performance of IBs, it seems there are no empirical studies attempting to address whether there is any optimal SSB size that can enhance the IBs performance so far.","author":[{"dropping-particle":"","family":"Nomran","given":"Naji Mansour","non-dropping-particle":"","parse-names":false,"suffix":""},{"dropping-particle":"","family":"Haron","given":"Razali","non-dropping-particle":"","parse-names":false,"suffix":""}],"container-title":"Journal of Islamic Accounting and Business Research","id":"ITEM-2","issue":"1","issued":{"date-parts":[["2020"]]},"page":"110-129","title":"Shari’ah supervisory board’s size impact on performance in the Islamic banking industry: An empirical investigation of the optimal board size across jurisdictions","type":"article-journal","volume":"11"},"uris":["http://www.mendeley.com/documents/?uuid=3c9db155-77d9-4c0e-aed9-9113794b1eb2"]}],"mendeley":{"formattedCitation":"(Ben Bouheni et al., 2021; Nomran &amp; Haron, 2020)","manualFormatting":"Bouheni et al., (2021) and Nomran &amp; Haron, (2020)","plainTextFormattedCitation":"(Ben Bouheni et al., 2021; Nomran &amp; Haron, 2020)"},"properties":{"noteIndex":0},"schema":"https://github.com/citation-style-language/schema/raw/master/csl-citation.json"}</w:instrText>
      </w:r>
      <w:r w:rsidR="00EC7903" w:rsidRPr="00BF5210">
        <w:rPr>
          <w:rFonts w:cs="Times New Roman"/>
          <w:iCs/>
          <w:lang w:val="en-US"/>
        </w:rPr>
        <w:fldChar w:fldCharType="separate"/>
      </w:r>
      <w:r w:rsidR="00EC7903" w:rsidRPr="00BF5210">
        <w:rPr>
          <w:rFonts w:cs="Times New Roman"/>
          <w:iCs/>
          <w:noProof/>
          <w:lang w:val="en-US"/>
        </w:rPr>
        <w:t>Bouheni et al., (2021) and Nomran &amp; Haron, (2020)</w:t>
      </w:r>
      <w:r w:rsidR="00EC7903" w:rsidRPr="00BF5210">
        <w:rPr>
          <w:rFonts w:cs="Times New Roman"/>
          <w:iCs/>
          <w:lang w:val="en-US"/>
        </w:rPr>
        <w:fldChar w:fldCharType="end"/>
      </w:r>
      <w:r w:rsidRPr="00BF5210">
        <w:rPr>
          <w:rFonts w:cs="Times New Roman"/>
          <w:iCs/>
        </w:rPr>
        <w:t>, gave results that were not influential.</w:t>
      </w:r>
    </w:p>
    <w:p w14:paraId="6F46C3CC" w14:textId="23000565" w:rsidR="009B3DA6" w:rsidRPr="009B3DA6" w:rsidRDefault="009B3DA6" w:rsidP="009B3DA6">
      <w:pPr>
        <w:pStyle w:val="ISI"/>
        <w:ind w:firstLine="426"/>
        <w:rPr>
          <w:rFonts w:cs="Times New Roman"/>
          <w:iCs/>
        </w:rPr>
      </w:pPr>
      <w:r w:rsidRPr="009B3DA6">
        <w:rPr>
          <w:rFonts w:cs="Times New Roman"/>
          <w:iCs/>
        </w:rPr>
        <w:t xml:space="preserve">With the research gap between the influence of intellectual capital and </w:t>
      </w:r>
      <w:r>
        <w:rPr>
          <w:rFonts w:cs="Times New Roman"/>
          <w:iCs/>
        </w:rPr>
        <w:t>Z</w:t>
      </w:r>
      <w:r w:rsidRPr="009B3DA6">
        <w:rPr>
          <w:rFonts w:cs="Times New Roman"/>
          <w:iCs/>
        </w:rPr>
        <w:t xml:space="preserve">akat performing ratio on firm performance of Islamic banks in Indonesia, this study added third-party funds as a moderating variable. </w:t>
      </w:r>
      <w:r w:rsidR="00F61401" w:rsidRPr="00BF5210">
        <w:rPr>
          <w:rFonts w:cs="Times New Roman"/>
          <w:iCs/>
        </w:rPr>
        <w:fldChar w:fldCharType="begin" w:fldLock="1"/>
      </w:r>
      <w:r w:rsidR="00E96528" w:rsidRPr="00BF5210">
        <w:rPr>
          <w:rFonts w:cs="Times New Roman"/>
          <w:iCs/>
        </w:rPr>
        <w:instrText>ADDIN CSL_CITATION {"citationItems":[{"id":"ITEM-1","itemData":{"ISSN":"1943023X","abstract":"This research was conducted on banking companies in Indonesia. The branchless banking services were to determine the effect of the branchless banking application to profits with the volume of third-party funds as an intervening variable or mediation. It was a program of providing banking services through collaboration with other parties (bank agents) and supported by information technology facilities. With Branchless Banking, the transactions were not dependent on the bank offices presence, due to the financial services and activities can be done through bank agents using Electronic Data Capture (EDC) owned by an agent. The research on branchless banking application in Indonesia was rarely conducted, but the implementation was relatively new. The variable used in the present study was Branchless Banking application as an independent variable, the profit changes as the dependent variable and volume of third-party funds as an intervening variable. These variables were obtained through theoretical and empirical studies. Data processing was conducted in using path analysis. The results of the study were branchless banking application did not significantly influence the number of third-party funds of banking companies in Indonesia. The branchless banking application amount of third-party funds have a significant effect on banking company profits in Indonesia. The branchless banking application did not have a significant direct effect on profits but there was branchless banking application which has a significant indirect effect on profit through the volume of third-party funds for the banking companies in Indonesia.","author":[{"dropping-particle":"","family":"Kustina","given":"Ketut Tanti","non-dropping-particle":"","parse-names":false,"suffix":""},{"dropping-particle":"","family":"Dewi","given":"Gusti Ayu Agung Omika","non-dropping-particle":"","parse-names":false,"suffix":""},{"dropping-particle":"Das","family":"Prena","given":"Gine","non-dropping-particle":"","parse-names":false,"suffix":""},{"dropping-particle":"","family":"Suryasa","given":"Wayan","non-dropping-particle":"","parse-names":false,"suffix":""}],"container-title":"Journal of Advanced Research in Dynamical and Control Systems","id":"ITEM-1","issue":"2","issued":{"date-parts":[["2019"]]},"page":"290-299","title":"Branchless banking, third-party funds, and profitability evidence reference to banking sector in indonesia","type":"article-journal","volume":"11"},"uris":["http://www.mendeley.com/documents/?uuid=b9a90542-05bd-4a18-b538-a0545ed803a8","http://www.mendeley.com/documents/?uuid=a8027f32-eebf-4e30-b72b-c65905bf80a9"]}],"mendeley":{"formattedCitation":"(Kustina et al., 2019)","manualFormatting":"Kustina et al., (2019)","plainTextFormattedCitation":"(Kustina et al., 2019)","previouslyFormattedCitation":"(Kustina et al., 2019)"},"properties":{"noteIndex":0},"schema":"https://github.com/citation-style-language/schema/raw/master/csl-citation.json"}</w:instrText>
      </w:r>
      <w:r w:rsidR="00F61401" w:rsidRPr="00BF5210">
        <w:rPr>
          <w:rFonts w:cs="Times New Roman"/>
          <w:iCs/>
        </w:rPr>
        <w:fldChar w:fldCharType="separate"/>
      </w:r>
      <w:r w:rsidR="00F61401" w:rsidRPr="00BF5210">
        <w:rPr>
          <w:rFonts w:cs="Times New Roman"/>
          <w:iCs/>
          <w:noProof/>
        </w:rPr>
        <w:t xml:space="preserve">Kustina et al., </w:t>
      </w:r>
      <w:r w:rsidR="00F61401" w:rsidRPr="00BF5210">
        <w:rPr>
          <w:rFonts w:cs="Times New Roman"/>
          <w:iCs/>
          <w:noProof/>
          <w:lang w:val="en-US"/>
        </w:rPr>
        <w:t>(</w:t>
      </w:r>
      <w:r w:rsidR="00F61401" w:rsidRPr="00BF5210">
        <w:rPr>
          <w:rFonts w:cs="Times New Roman"/>
          <w:iCs/>
          <w:noProof/>
        </w:rPr>
        <w:t>2019)</w:t>
      </w:r>
      <w:r w:rsidR="00F61401" w:rsidRPr="00BF5210">
        <w:rPr>
          <w:rFonts w:cs="Times New Roman"/>
          <w:iCs/>
        </w:rPr>
        <w:fldChar w:fldCharType="end"/>
      </w:r>
      <w:r w:rsidR="00F61401">
        <w:rPr>
          <w:rFonts w:cs="Times New Roman"/>
          <w:iCs/>
          <w:lang w:val="en-US"/>
        </w:rPr>
        <w:t xml:space="preserve"> </w:t>
      </w:r>
      <w:r>
        <w:rPr>
          <w:rFonts w:cs="Times New Roman"/>
          <w:iCs/>
        </w:rPr>
        <w:t>explai</w:t>
      </w:r>
      <w:r w:rsidRPr="009B3DA6">
        <w:rPr>
          <w:rFonts w:cs="Times New Roman"/>
          <w:iCs/>
        </w:rPr>
        <w:t>n that third</w:t>
      </w:r>
      <w:r>
        <w:rPr>
          <w:rFonts w:cs="Times New Roman"/>
          <w:iCs/>
        </w:rPr>
        <w:t>-</w:t>
      </w:r>
      <w:r w:rsidRPr="009B3DA6">
        <w:rPr>
          <w:rFonts w:cs="Times New Roman"/>
          <w:iCs/>
        </w:rPr>
        <w:t>party funds are funds from the community in demand deposits, savings, and deposits</w:t>
      </w:r>
      <w:r>
        <w:rPr>
          <w:rFonts w:cs="Times New Roman"/>
          <w:iCs/>
        </w:rPr>
        <w:t>. Therefore, t</w:t>
      </w:r>
      <w:r w:rsidRPr="009B3DA6">
        <w:rPr>
          <w:rFonts w:cs="Times New Roman"/>
          <w:iCs/>
        </w:rPr>
        <w:t>heir existence has a direct effect on profitability. T</w:t>
      </w:r>
      <w:r>
        <w:rPr>
          <w:rFonts w:cs="Times New Roman"/>
          <w:iCs/>
        </w:rPr>
        <w:t>hus, t</w:t>
      </w:r>
      <w:r w:rsidRPr="009B3DA6">
        <w:rPr>
          <w:rFonts w:cs="Times New Roman"/>
          <w:iCs/>
        </w:rPr>
        <w:t xml:space="preserve">he problem formulations in this study are: 1) Can intellectual capital have a positive effect on ROA and ROE?, 2) Can </w:t>
      </w:r>
      <w:r>
        <w:rPr>
          <w:rFonts w:cs="Times New Roman"/>
          <w:iCs/>
        </w:rPr>
        <w:t>Z</w:t>
      </w:r>
      <w:r w:rsidRPr="009B3DA6">
        <w:rPr>
          <w:rFonts w:cs="Times New Roman"/>
          <w:iCs/>
        </w:rPr>
        <w:t xml:space="preserve">akat performing ratio have a positive effect on ROA and ROE?, 3) Do third-party funds moderate the influence of intellectual capital on ROA and ROA? ROE?, and 4) Do third-party funds moderate the effect of </w:t>
      </w:r>
      <w:r>
        <w:rPr>
          <w:rFonts w:cs="Times New Roman"/>
          <w:iCs/>
        </w:rPr>
        <w:t>Z</w:t>
      </w:r>
      <w:r w:rsidRPr="009B3DA6">
        <w:rPr>
          <w:rFonts w:cs="Times New Roman"/>
          <w:iCs/>
        </w:rPr>
        <w:t>akat performing ratio on ROA and ROE?.</w:t>
      </w:r>
    </w:p>
    <w:p w14:paraId="6D0B4AF9" w14:textId="72E6F618" w:rsidR="009B3DA6" w:rsidRDefault="009B3DA6" w:rsidP="009B3DA6">
      <w:pPr>
        <w:pStyle w:val="ISI"/>
        <w:ind w:firstLine="426"/>
        <w:rPr>
          <w:rFonts w:cs="Times New Roman"/>
          <w:iCs/>
        </w:rPr>
      </w:pPr>
      <w:r w:rsidRPr="009B3DA6">
        <w:rPr>
          <w:rFonts w:cs="Times New Roman"/>
          <w:iCs/>
        </w:rPr>
        <w:t>This study contributes that Islamic banks in Indonesia can improve their firm performance with intellectual capital, zakat performing ratio, third party funds</w:t>
      </w:r>
      <w:r>
        <w:rPr>
          <w:rFonts w:cs="Times New Roman"/>
          <w:iCs/>
        </w:rPr>
        <w:t>,</w:t>
      </w:r>
      <w:r w:rsidRPr="009B3DA6">
        <w:rPr>
          <w:rFonts w:cs="Times New Roman"/>
          <w:iCs/>
        </w:rPr>
        <w:t xml:space="preserve"> and other factors. </w:t>
      </w:r>
      <w:r>
        <w:rPr>
          <w:rFonts w:cs="Times New Roman"/>
          <w:iCs/>
        </w:rPr>
        <w:t>Therefore, i</w:t>
      </w:r>
      <w:r w:rsidRPr="009B3DA6">
        <w:rPr>
          <w:rFonts w:cs="Times New Roman"/>
          <w:iCs/>
        </w:rPr>
        <w:t>t is intended that more and more customers and prospective customers can place funds in Islamic banks in Indonesia.</w:t>
      </w:r>
    </w:p>
    <w:p w14:paraId="217BE4A4" w14:textId="77777777" w:rsidR="00BF5210" w:rsidRDefault="00BF5210" w:rsidP="009B3DA6">
      <w:pPr>
        <w:pStyle w:val="ISI"/>
        <w:ind w:firstLine="426"/>
        <w:rPr>
          <w:rFonts w:cs="Times New Roman"/>
          <w:iCs/>
        </w:rPr>
      </w:pPr>
    </w:p>
    <w:p w14:paraId="653B279C" w14:textId="5E174770" w:rsidR="00967239" w:rsidRDefault="00967239" w:rsidP="00787201">
      <w:pPr>
        <w:pStyle w:val="I-POINT"/>
        <w:rPr>
          <w:rStyle w:val="notranslate"/>
        </w:rPr>
      </w:pPr>
      <w:r w:rsidRPr="000456CF">
        <w:rPr>
          <w:rStyle w:val="notranslate"/>
        </w:rPr>
        <w:t>Literature</w:t>
      </w:r>
      <w:r w:rsidRPr="000A322B">
        <w:rPr>
          <w:rStyle w:val="notranslate"/>
        </w:rPr>
        <w:t xml:space="preserve"> Review</w:t>
      </w:r>
    </w:p>
    <w:p w14:paraId="3E1C8940" w14:textId="6A477401" w:rsidR="00A144CA" w:rsidRDefault="00A144CA" w:rsidP="00A144CA">
      <w:pPr>
        <w:pStyle w:val="I-POINT"/>
        <w:spacing w:before="0"/>
        <w:ind w:firstLine="86"/>
        <w:rPr>
          <w:rStyle w:val="notranslate"/>
          <w:lang w:val="en-US"/>
        </w:rPr>
      </w:pPr>
      <w:r>
        <w:rPr>
          <w:rStyle w:val="notranslate"/>
          <w:lang w:val="en-US"/>
        </w:rPr>
        <w:t>Third-Party Funds</w:t>
      </w:r>
    </w:p>
    <w:p w14:paraId="3C129212" w14:textId="3189010F" w:rsidR="009B3DA6" w:rsidRPr="00BF5210" w:rsidRDefault="00F61401" w:rsidP="009B3DA6">
      <w:pPr>
        <w:spacing w:after="80" w:line="300" w:lineRule="exact"/>
        <w:ind w:firstLine="426"/>
        <w:jc w:val="both"/>
        <w:rPr>
          <w:rFonts w:ascii="Cambria" w:hAnsi="Cambria" w:cs="Times New Roman"/>
        </w:rPr>
      </w:pPr>
      <w:r w:rsidRPr="00BF5210">
        <w:rPr>
          <w:rFonts w:ascii="Cambria" w:hAnsi="Cambria" w:cs="Times New Roman"/>
        </w:rPr>
        <w:fldChar w:fldCharType="begin" w:fldLock="1"/>
      </w:r>
      <w:r w:rsidR="00E96528" w:rsidRPr="00BF5210">
        <w:rPr>
          <w:rFonts w:ascii="Cambria" w:hAnsi="Cambria" w:cs="Times New Roman"/>
        </w:rPr>
        <w:instrText>ADDIN CSL_CITATION {"citationItems":[{"id":"ITEM-1","itemData":{"abstract":"This study aims to analyze the effect of Capital Adequacy Ratio (CAR), Third Party Fund, Loan to Deposit Ratio (LDR), and Bank Size to Profitability in banking companies listed in Indonesia Stock Exchange by using annual financial reports published in 2016-2018. The population in this study are 44 banks with 18 obtained as samples using purposive sampling method. The results of this study indicate that the Capital Adequacy Ratio, Third Party Fund, Bank Size have a positive and significant effect on profitability. Meanwhile, Loan to Deposit Ratio has a positive and insignificant effect on the Profitability of Banking Companies in the Indonesia Stock Exchange during the 2016–2018 period.","author":[{"dropping-particle":"","family":"Anggari","given":"Ni Luh Shintya","non-dropping-particle":"","parse-names":false,"suffix":""},{"dropping-particle":"","family":"Dana","given":"I Made","non-dropping-particle":"","parse-names":false,"suffix":""}],"container-title":"American Journal of Humanities and Social Sciences Research (AJHSSR)","id":"ITEM-1","issue":"12","issued":{"date-parts":[["2020"]]},"page":"334-338","title":"The Effect of Capital Adequacy Ratio, Third Party Funds, Loan to Deposit Ratio, Bank Size on Profitability in Banking Companies on IDX","type":"article-journal","volume":"4"},"uris":["http://www.mendeley.com/documents/?uuid=32a47ab4-cca6-4567-a9e7-b91f9d4f5b4c","http://www.mendeley.com/documents/?uuid=063c0950-3d1a-4d34-960e-e103348b3e9c"]}],"mendeley":{"formattedCitation":"(Anggari &amp; Dana, 2020)","manualFormatting":"Anggari &amp; Dana, (2020)","plainTextFormattedCitation":"(Anggari &amp; Dana, 2020)","previouslyFormattedCitation":"(Anggari &amp; Dana, 2020)"},"properties":{"noteIndex":0},"schema":"https://github.com/citation-style-language/schema/raw/master/csl-citation.json"}</w:instrText>
      </w:r>
      <w:r w:rsidRPr="00BF5210">
        <w:rPr>
          <w:rFonts w:ascii="Cambria" w:hAnsi="Cambria" w:cs="Times New Roman"/>
        </w:rPr>
        <w:fldChar w:fldCharType="separate"/>
      </w:r>
      <w:r w:rsidRPr="00BF5210">
        <w:rPr>
          <w:rFonts w:ascii="Cambria" w:hAnsi="Cambria" w:cs="Times New Roman"/>
          <w:noProof/>
        </w:rPr>
        <w:t xml:space="preserve">Anggari &amp; Dana, </w:t>
      </w:r>
      <w:r w:rsidRPr="00BF5210">
        <w:rPr>
          <w:rFonts w:ascii="Cambria" w:hAnsi="Cambria" w:cs="Times New Roman"/>
          <w:noProof/>
          <w:lang w:val="en-US"/>
        </w:rPr>
        <w:t>(</w:t>
      </w:r>
      <w:r w:rsidRPr="00BF5210">
        <w:rPr>
          <w:rFonts w:ascii="Cambria" w:hAnsi="Cambria" w:cs="Times New Roman"/>
          <w:noProof/>
        </w:rPr>
        <w:t>2020)</w:t>
      </w:r>
      <w:r w:rsidRPr="00BF5210">
        <w:rPr>
          <w:rFonts w:ascii="Cambria" w:hAnsi="Cambria" w:cs="Times New Roman"/>
        </w:rPr>
        <w:fldChar w:fldCharType="end"/>
      </w:r>
      <w:r w:rsidRPr="00BF5210">
        <w:rPr>
          <w:rFonts w:ascii="Cambria" w:hAnsi="Cambria" w:cs="Times New Roman"/>
          <w:lang w:val="en-US"/>
        </w:rPr>
        <w:t xml:space="preserve"> </w:t>
      </w:r>
      <w:r w:rsidR="009B3DA6" w:rsidRPr="00BF5210">
        <w:rPr>
          <w:rFonts w:ascii="Cambria" w:hAnsi="Cambria" w:cs="Times New Roman"/>
        </w:rPr>
        <w:t>explains that third-party funds are funds sourced from the public in demand deposits, savings, and depositors. If the nominal is large, the bank can also redistribute it in the form of credit in large amounts. Credit distribution will provide benefits for banks and customers. Banks, as channeling institutions, will receive cash. The cash can be used to finance operational activities carried out by the bank.</w:t>
      </w:r>
    </w:p>
    <w:p w14:paraId="1A7041CB" w14:textId="67242555" w:rsidR="00A144CA" w:rsidRDefault="00B7393F" w:rsidP="009B3DA6">
      <w:pPr>
        <w:spacing w:after="80" w:line="300" w:lineRule="exact"/>
        <w:ind w:firstLine="426"/>
        <w:jc w:val="both"/>
        <w:rPr>
          <w:rFonts w:ascii="Cambria" w:hAnsi="Cambria" w:cs="Times New Roman"/>
        </w:rPr>
      </w:pPr>
      <w:r w:rsidRPr="00BF5210">
        <w:rPr>
          <w:rFonts w:ascii="Cambria" w:hAnsi="Cambria" w:cs="Times New Roman"/>
        </w:rPr>
        <w:fldChar w:fldCharType="begin" w:fldLock="1"/>
      </w:r>
      <w:r w:rsidR="00E96528" w:rsidRPr="00BF5210">
        <w:rPr>
          <w:rFonts w:ascii="Cambria" w:hAnsi="Cambria" w:cs="Times New Roman"/>
        </w:rPr>
        <w:instrText>ADDIN CSL_CITATION {"citationItems":[{"id":"ITEM-1","itemData":{"DOI":"10.36349/easjebm.2019.v02i04.010","abstract":"The purpose of this research is to know the influence of third party funds on profitability with profit sharing as intervening variable in sharia banking in Indonesia. By using purposive sampling method, 10 sharia banks are selected as sample for the period of 2013 until 2016. The data is derived from financial report and annual report of the sharia banks. The results of this study indicate that third party funds influence the revenue sharing, where the greater the third party funds, the higher the revenue share. The profit sharing influences profitability. Third party funds have positive influence on profitability so that profit sharing can be an intervening variable between third party funds and profitability.","author":[{"dropping-particle":"","family":"Hermuningsih","given":"Sri","non-dropping-particle":"","parse-names":false,"suffix":""}],"container-title":"East African Scholars Journal of Economics, Business and Management","id":"ITEM-1","issue":"4 (April)","issued":{"date-parts":[["2019"]]},"page":"242-251","title":"Third Party Funds and Indonesia ’ s Sharia Banking Profitability with Revenue Sharing as Intervening Variable","type":"article-journal","volume":"2"},"uris":["http://www.mendeley.com/documents/?uuid=a25bbdb8-2fb1-4919-a8e3-3430862bcd94","http://www.mendeley.com/documents/?uuid=afa2a20e-b43d-41b3-9eb6-f334e4f75a31"]}],"mendeley":{"formattedCitation":"(Hermuningsih, 2019)","manualFormatting":"Hermuningsih (2019)","plainTextFormattedCitation":"(Hermuningsih, 2019)","previouslyFormattedCitation":"(Hermuningsih, 2019)"},"properties":{"noteIndex":0},"schema":"https://github.com/citation-style-language/schema/raw/master/csl-citation.json"}</w:instrText>
      </w:r>
      <w:r w:rsidRPr="00BF5210">
        <w:rPr>
          <w:rFonts w:ascii="Cambria" w:hAnsi="Cambria" w:cs="Times New Roman"/>
        </w:rPr>
        <w:fldChar w:fldCharType="separate"/>
      </w:r>
      <w:r w:rsidRPr="00BF5210">
        <w:rPr>
          <w:rFonts w:ascii="Cambria" w:hAnsi="Cambria" w:cs="Times New Roman"/>
          <w:noProof/>
        </w:rPr>
        <w:t xml:space="preserve">Hermuningsih </w:t>
      </w:r>
      <w:r w:rsidRPr="00BF5210">
        <w:rPr>
          <w:rFonts w:ascii="Cambria" w:hAnsi="Cambria" w:cs="Times New Roman"/>
          <w:noProof/>
          <w:lang w:val="en-US"/>
        </w:rPr>
        <w:t>(</w:t>
      </w:r>
      <w:r w:rsidRPr="00BF5210">
        <w:rPr>
          <w:rFonts w:ascii="Cambria" w:hAnsi="Cambria" w:cs="Times New Roman"/>
          <w:noProof/>
        </w:rPr>
        <w:t>2019)</w:t>
      </w:r>
      <w:r w:rsidRPr="00BF5210">
        <w:rPr>
          <w:rFonts w:ascii="Cambria" w:hAnsi="Cambria" w:cs="Times New Roman"/>
        </w:rPr>
        <w:fldChar w:fldCharType="end"/>
      </w:r>
      <w:r w:rsidRPr="00BF5210">
        <w:rPr>
          <w:rFonts w:ascii="Cambria" w:hAnsi="Cambria" w:cs="Times New Roman"/>
          <w:lang w:val="en-US"/>
        </w:rPr>
        <w:t xml:space="preserve"> </w:t>
      </w:r>
      <w:r w:rsidR="009B3DA6" w:rsidRPr="00BF5210">
        <w:rPr>
          <w:rFonts w:ascii="Cambria" w:hAnsi="Cambria" w:cs="Times New Roman"/>
        </w:rPr>
        <w:t>explain if third-party funds consist of demand deposits, which are s</w:t>
      </w:r>
      <w:r w:rsidR="009B3DA6">
        <w:rPr>
          <w:rFonts w:ascii="Cambria" w:hAnsi="Cambria" w:cs="Times New Roman"/>
        </w:rPr>
        <w:t>avings funds withdrawn using a bilyet giro, savings funds that</w:t>
      </w:r>
      <w:r w:rsidR="009B3DA6" w:rsidRPr="009B3DA6">
        <w:rPr>
          <w:rFonts w:ascii="Cambria" w:hAnsi="Cambria" w:cs="Times New Roman"/>
        </w:rPr>
        <w:t xml:space="preserve"> are </w:t>
      </w:r>
      <w:r w:rsidR="009B3DA6">
        <w:rPr>
          <w:rFonts w:ascii="Cambria" w:hAnsi="Cambria" w:cs="Times New Roman"/>
        </w:rPr>
        <w:t>started</w:t>
      </w:r>
      <w:r w:rsidR="009B3DA6" w:rsidRPr="009B3DA6">
        <w:rPr>
          <w:rFonts w:ascii="Cambria" w:hAnsi="Cambria" w:cs="Times New Roman"/>
        </w:rPr>
        <w:t xml:space="preserve"> using a savings book, and depo</w:t>
      </w:r>
      <w:r w:rsidR="009B3DA6">
        <w:rPr>
          <w:rFonts w:ascii="Cambria" w:hAnsi="Cambria" w:cs="Times New Roman"/>
          <w:lang w:val="en-US"/>
        </w:rPr>
        <w:t>s</w:t>
      </w:r>
      <w:r w:rsidR="009B3DA6" w:rsidRPr="009B3DA6">
        <w:rPr>
          <w:rFonts w:ascii="Cambria" w:hAnsi="Cambria" w:cs="Times New Roman"/>
        </w:rPr>
        <w:t>it</w:t>
      </w:r>
      <w:r w:rsidR="009B3DA6">
        <w:rPr>
          <w:rFonts w:ascii="Cambria" w:hAnsi="Cambria" w:cs="Times New Roman"/>
        </w:rPr>
        <w:t>s</w:t>
      </w:r>
      <w:r w:rsidR="009B3DA6" w:rsidRPr="009B3DA6">
        <w:rPr>
          <w:rFonts w:ascii="Cambria" w:hAnsi="Cambria" w:cs="Times New Roman"/>
        </w:rPr>
        <w:t xml:space="preserve"> whose withdrawals pay attention to the agreed period.</w:t>
      </w:r>
    </w:p>
    <w:p w14:paraId="39662145" w14:textId="77777777" w:rsidR="009B3DA6" w:rsidRPr="00A144CA" w:rsidRDefault="009B3DA6" w:rsidP="009B3DA6">
      <w:pPr>
        <w:spacing w:after="80" w:line="300" w:lineRule="exact"/>
        <w:ind w:firstLine="426"/>
        <w:jc w:val="both"/>
        <w:rPr>
          <w:rFonts w:ascii="Cambria" w:hAnsi="Cambria" w:cs="Times New Roman"/>
        </w:rPr>
      </w:pPr>
    </w:p>
    <w:p w14:paraId="523A301D" w14:textId="4BC4D5A0" w:rsidR="00A144CA" w:rsidRDefault="00A144CA" w:rsidP="00A144CA">
      <w:pPr>
        <w:pStyle w:val="I-POINT"/>
        <w:spacing w:before="0"/>
        <w:ind w:firstLine="86"/>
        <w:rPr>
          <w:rStyle w:val="notranslate"/>
          <w:lang w:val="en-US"/>
        </w:rPr>
      </w:pPr>
      <w:r>
        <w:rPr>
          <w:rStyle w:val="notranslate"/>
          <w:lang w:val="en-US"/>
        </w:rPr>
        <w:t>Intellectual Capital</w:t>
      </w:r>
    </w:p>
    <w:p w14:paraId="02489F12" w14:textId="15C22E3E" w:rsidR="00A144CA" w:rsidRDefault="00B7393F" w:rsidP="00A144CA">
      <w:pPr>
        <w:spacing w:after="80" w:line="300" w:lineRule="exact"/>
        <w:ind w:firstLine="426"/>
        <w:jc w:val="both"/>
        <w:rPr>
          <w:rFonts w:ascii="Cambria" w:hAnsi="Cambria" w:cs="Times New Roman"/>
        </w:rPr>
      </w:pPr>
      <w:r w:rsidRPr="00BF5210">
        <w:rPr>
          <w:rFonts w:ascii="Cambria" w:hAnsi="Cambria" w:cs="Times New Roman"/>
        </w:rPr>
        <w:fldChar w:fldCharType="begin" w:fldLock="1"/>
      </w:r>
      <w:r w:rsidR="00E96528" w:rsidRPr="00BF5210">
        <w:rPr>
          <w:rFonts w:ascii="Cambria" w:hAnsi="Cambria" w:cs="Times New Roman"/>
        </w:rPr>
        <w:instrText>ADDIN CSL_CITATION {"citationItems":[{"id":"ITEM-1","itemData":{"DOI":"10.1108/JIC-01-2019-0016","ISSN":"1469-1930","abstract":"Purpose The purpose of this paper is to explore the intersection of accounting practices and new technologies in the age of agility as a form of intellectual capital, through sharing the conceptualization and real implications of accounting and accountability ideas in exploring and deploying new technologies, such as big data analytics, blockchain and augmented accounting practices and expounding how they constitute new forms of intellectual capital to support value creation and realise Sustainable Development Goals (SDGs). Design/methodology/approach The adopted methodology is cyber-ethnography, which investigates online practices through observation and discourse analysis, reflecting on new business models and practices, and how accounting relates to these developments. The global brain sets the conceptual context, which reflects the distributed network intelligence that is created through the internet. Findings The main findings focus on various developments of accounting practice that reflect, utilise or support digital companies and new technologies, including augmentation, big data analytics and blockchain technology, as new forms of intellectual capital, that is knowledge and skills within organisations, that have the potential to support value creation and realise SDGs. These relate to and originate from the global brain, which constitutes the umbrella of tech-related intellectual capital. Originality/value This paper determines new developments in accounting practices in relation to new technologies, due to the continuous expansion and influence of the intelligence of the collective network, the global brain, as forms of intellectual capital, contributing to value creation, sustainable development and the realisation of SDGs.","author":[{"dropping-particle":"","family":"Al-Htaybat","given":"Khaldoon","non-dropping-particle":"","parse-names":false,"suffix":""},{"dropping-particle":"","family":"Hutaibat","given":"Khaled","non-dropping-particle":"","parse-names":false,"suffix":""},{"dropping-particle":"","family":"Alberti-Alhtaybat","given":"Larissa","non-dropping-particle":"von","parse-names":false,"suffix":""}],"container-title":"Journal of Intellectual Capital","id":"ITEM-1","issue":"6","issued":{"date-parts":[["2019","1"]]},"page":"733-762","publisher":"Emerald Publishing Limited","title":"Global brain-reflective accounting practices","type":"article-journal","volume":"20"},"uris":["http://www.mendeley.com/documents/?uuid=7e98b9fc-0b9f-4a95-8688-b6c56205e1e9","http://www.mendeley.com/documents/?uuid=eb4a4c06-32c5-4ed8-ba12-e1ab3e61eb53"]}],"mendeley":{"formattedCitation":"(Al-Htaybat et al., 2019)","manualFormatting":"Al-Htaybat et al., (2019)","plainTextFormattedCitation":"(Al-Htaybat et al., 2019)","previouslyFormattedCitation":"(Al-Htaybat et al., 2019)"},"properties":{"noteIndex":0},"schema":"https://github.com/citation-style-language/schema/raw/master/csl-citation.json"}</w:instrText>
      </w:r>
      <w:r w:rsidRPr="00BF5210">
        <w:rPr>
          <w:rFonts w:ascii="Cambria" w:hAnsi="Cambria" w:cs="Times New Roman"/>
        </w:rPr>
        <w:fldChar w:fldCharType="separate"/>
      </w:r>
      <w:r w:rsidRPr="00BF5210">
        <w:rPr>
          <w:rFonts w:ascii="Cambria" w:hAnsi="Cambria" w:cs="Times New Roman"/>
          <w:noProof/>
        </w:rPr>
        <w:t xml:space="preserve">Al-Htaybat et al., </w:t>
      </w:r>
      <w:r w:rsidRPr="00BF5210">
        <w:rPr>
          <w:rFonts w:ascii="Cambria" w:hAnsi="Cambria" w:cs="Times New Roman"/>
          <w:noProof/>
          <w:lang w:val="en-US"/>
        </w:rPr>
        <w:t>(</w:t>
      </w:r>
      <w:r w:rsidRPr="00BF5210">
        <w:rPr>
          <w:rFonts w:ascii="Cambria" w:hAnsi="Cambria" w:cs="Times New Roman"/>
          <w:noProof/>
        </w:rPr>
        <w:t>2019)</w:t>
      </w:r>
      <w:r w:rsidRPr="00BF5210">
        <w:rPr>
          <w:rFonts w:ascii="Cambria" w:hAnsi="Cambria" w:cs="Times New Roman"/>
        </w:rPr>
        <w:fldChar w:fldCharType="end"/>
      </w:r>
      <w:r>
        <w:rPr>
          <w:rFonts w:ascii="Cambria" w:hAnsi="Cambria" w:cs="Times New Roman"/>
          <w:lang w:val="en-US"/>
        </w:rPr>
        <w:t xml:space="preserve"> </w:t>
      </w:r>
      <w:r w:rsidR="009B3DA6" w:rsidRPr="009B3DA6">
        <w:rPr>
          <w:rFonts w:ascii="Cambria" w:hAnsi="Cambria" w:cs="Times New Roman"/>
        </w:rPr>
        <w:t>explained that intellectual capital is an intangible company asset reflected in intellectuality</w:t>
      </w:r>
      <w:r w:rsidR="009B3DA6">
        <w:rPr>
          <w:rFonts w:ascii="Cambria" w:hAnsi="Cambria" w:cs="Times New Roman"/>
        </w:rPr>
        <w:t>. Therefore, a</w:t>
      </w:r>
      <w:r w:rsidR="009B3DA6" w:rsidRPr="009B3DA6">
        <w:rPr>
          <w:rFonts w:ascii="Cambria" w:hAnsi="Cambria" w:cs="Times New Roman"/>
        </w:rPr>
        <w:t xml:space="preserve"> better company value is obtained compared to other companies, which means that this variable is fairly competitive in business competition. Kamilia (2016) stated that intellectual capital is managed through human capital (HC), structural capital (SC), and capital employed (CE). Intellectual capital itself can be measured through Value Added (VA)</w:t>
      </w:r>
      <w:r w:rsidR="009B3DA6">
        <w:rPr>
          <w:rFonts w:ascii="Cambria" w:hAnsi="Cambria" w:cs="Times New Roman"/>
        </w:rPr>
        <w:t>,</w:t>
      </w:r>
      <w:r w:rsidR="009B3DA6" w:rsidRPr="009B3DA6">
        <w:rPr>
          <w:rFonts w:ascii="Cambria" w:hAnsi="Cambria" w:cs="Times New Roman"/>
        </w:rPr>
        <w:t xml:space="preserve"> which is a measurement of total income minus total expenses, Value Added Capital Employed (VACA)</w:t>
      </w:r>
      <w:r w:rsidR="009B3DA6">
        <w:rPr>
          <w:rFonts w:ascii="Cambria" w:hAnsi="Cambria" w:cs="Times New Roman"/>
        </w:rPr>
        <w:t>,</w:t>
      </w:r>
      <w:r w:rsidR="009B3DA6" w:rsidRPr="009B3DA6">
        <w:rPr>
          <w:rFonts w:ascii="Cambria" w:hAnsi="Cambria" w:cs="Times New Roman"/>
        </w:rPr>
        <w:t xml:space="preserve"> which is a measurement of equity, Human Capital (VAHU) which is measured through VA divided by HU, Structural Capital (STVA) ) as measured by SC (VA-HC) versus VA, and VAIC as measured by a combination of VACA, VAHU, and STVA.</w:t>
      </w:r>
    </w:p>
    <w:p w14:paraId="27BF94F1" w14:textId="77777777" w:rsidR="009B3DA6" w:rsidRPr="0001183B" w:rsidRDefault="009B3DA6" w:rsidP="009B3DA6">
      <w:pPr>
        <w:spacing w:after="80" w:line="300" w:lineRule="exact"/>
        <w:jc w:val="both"/>
        <w:rPr>
          <w:rFonts w:ascii="Times New Roman" w:hAnsi="Times New Roman" w:cs="Times New Roman"/>
          <w:sz w:val="24"/>
        </w:rPr>
      </w:pPr>
    </w:p>
    <w:p w14:paraId="0D94AA9B" w14:textId="39DFBB62" w:rsidR="00A144CA" w:rsidRDefault="00A144CA" w:rsidP="009B3DA6">
      <w:pPr>
        <w:pStyle w:val="I-POINT"/>
        <w:spacing w:before="0"/>
        <w:ind w:firstLine="86"/>
        <w:rPr>
          <w:rStyle w:val="notranslate"/>
          <w:lang w:val="en-US"/>
        </w:rPr>
      </w:pPr>
      <w:r>
        <w:rPr>
          <w:rStyle w:val="notranslate"/>
          <w:lang w:val="en-US"/>
        </w:rPr>
        <w:t>Zakat Performing Ratio</w:t>
      </w:r>
    </w:p>
    <w:p w14:paraId="43A6FF51" w14:textId="5E281E7C" w:rsidR="00A144CA" w:rsidRDefault="009A11A2" w:rsidP="00A144CA">
      <w:pPr>
        <w:spacing w:after="80" w:line="300" w:lineRule="exact"/>
        <w:ind w:firstLine="426"/>
        <w:jc w:val="both"/>
        <w:rPr>
          <w:rFonts w:ascii="Cambria" w:hAnsi="Cambria" w:cs="Times New Roman"/>
        </w:rPr>
      </w:pPr>
      <w:r w:rsidRPr="00BF5210">
        <w:rPr>
          <w:rFonts w:ascii="Cambria" w:hAnsi="Cambria" w:cs="Times New Roman"/>
        </w:rPr>
        <w:fldChar w:fldCharType="begin" w:fldLock="1"/>
      </w:r>
      <w:r w:rsidR="00E96528" w:rsidRPr="00BF5210">
        <w:rPr>
          <w:rFonts w:ascii="Cambria" w:hAnsi="Cambria" w:cs="Times New Roman"/>
        </w:rPr>
        <w:instrText>ADDIN CSL_CITATION {"citationItems":[{"id":"ITEM-1","itemData":{"DOI":"10.1007/978-3-030-16299-3","ISBN":"9783030162993","abstract":"… This includes the ruling on corporate social respon- sibility (CSR) issued by the Accounting and Auditing Organization for Islamic Financial … All these initiatives supported the Islamic finance market and ensured financial inclusion of the British Muslim and other …","author":[{"dropping-particle":"","family":"Alamad","given":"Samir","non-dropping-particle":"","parse-names":false,"suffix":""}],"container-title":"Financial and Accounting Principles in Islamic Finance","id":"ITEM-1","issued":{"date-parts":[["2019"]]},"page":"49-73","title":"Financial and Accounting Principles in Islamic Finance","type":"article-journal"},"uris":["http://www.mendeley.com/documents/?uuid=08de89b5-bf55-4f9b-831e-c5702906e709","http://www.mendeley.com/documents/?uuid=58a463a0-39be-4cb7-aecc-4d6fe676bec7"]}],"mendeley":{"formattedCitation":"(Alamad, 2019)","manualFormatting":"Alamad (2019)","plainTextFormattedCitation":"(Alamad, 2019)","previouslyFormattedCitation":"(Alamad, 2019)"},"properties":{"noteIndex":0},"schema":"https://github.com/citation-style-language/schema/raw/master/csl-citation.json"}</w:instrText>
      </w:r>
      <w:r w:rsidRPr="00BF5210">
        <w:rPr>
          <w:rFonts w:ascii="Cambria" w:hAnsi="Cambria" w:cs="Times New Roman"/>
        </w:rPr>
        <w:fldChar w:fldCharType="separate"/>
      </w:r>
      <w:r w:rsidRPr="00BF5210">
        <w:rPr>
          <w:rFonts w:ascii="Cambria" w:hAnsi="Cambria" w:cs="Times New Roman"/>
          <w:noProof/>
        </w:rPr>
        <w:t xml:space="preserve">Alamad </w:t>
      </w:r>
      <w:r w:rsidRPr="00BF5210">
        <w:rPr>
          <w:rFonts w:ascii="Cambria" w:hAnsi="Cambria" w:cs="Times New Roman"/>
          <w:noProof/>
          <w:lang w:val="en-US"/>
        </w:rPr>
        <w:t>(</w:t>
      </w:r>
      <w:r w:rsidRPr="00BF5210">
        <w:rPr>
          <w:rFonts w:ascii="Cambria" w:hAnsi="Cambria" w:cs="Times New Roman"/>
          <w:noProof/>
        </w:rPr>
        <w:t>2019)</w:t>
      </w:r>
      <w:r w:rsidRPr="00BF5210">
        <w:rPr>
          <w:rFonts w:ascii="Cambria" w:hAnsi="Cambria" w:cs="Times New Roman"/>
        </w:rPr>
        <w:fldChar w:fldCharType="end"/>
      </w:r>
      <w:r>
        <w:rPr>
          <w:rFonts w:ascii="Cambria" w:hAnsi="Cambria" w:cs="Times New Roman"/>
          <w:lang w:val="en-US"/>
        </w:rPr>
        <w:t xml:space="preserve"> </w:t>
      </w:r>
      <w:r w:rsidR="009B3DA6">
        <w:rPr>
          <w:rFonts w:ascii="Cambria" w:hAnsi="Cambria" w:cs="Times New Roman"/>
        </w:rPr>
        <w:t>explains</w:t>
      </w:r>
      <w:r w:rsidR="009B3DA6" w:rsidRPr="009B3DA6">
        <w:rPr>
          <w:rFonts w:ascii="Cambria" w:hAnsi="Cambria" w:cs="Times New Roman"/>
        </w:rPr>
        <w:t xml:space="preserve"> that </w:t>
      </w:r>
      <w:r w:rsidR="009B3DA6">
        <w:rPr>
          <w:rFonts w:ascii="Cambria" w:hAnsi="Cambria" w:cs="Times New Roman"/>
        </w:rPr>
        <w:t>Z</w:t>
      </w:r>
      <w:r w:rsidR="009B3DA6" w:rsidRPr="009B3DA6">
        <w:rPr>
          <w:rFonts w:ascii="Cambria" w:hAnsi="Cambria" w:cs="Times New Roman"/>
        </w:rPr>
        <w:t xml:space="preserve">akat is an obligation in the orders ordered by Islam. </w:t>
      </w:r>
      <w:r w:rsidR="009B3DA6">
        <w:rPr>
          <w:rFonts w:ascii="Cambria" w:hAnsi="Cambria" w:cs="Times New Roman"/>
        </w:rPr>
        <w:t>Islamic banks issue testicles to replace conventional performance indicators based on Islamic principle</w:t>
      </w:r>
      <w:r w:rsidR="009B3DA6" w:rsidRPr="009B3DA6">
        <w:rPr>
          <w:rFonts w:ascii="Cambria" w:hAnsi="Cambria" w:cs="Times New Roman"/>
        </w:rPr>
        <w:t xml:space="preserve">s. Zakat performing ratio </w:t>
      </w:r>
      <w:r w:rsidR="009B3DA6">
        <w:rPr>
          <w:rFonts w:ascii="Cambria" w:hAnsi="Cambria" w:cs="Times New Roman"/>
        </w:rPr>
        <w:t>assesses</w:t>
      </w:r>
      <w:r w:rsidR="009B3DA6" w:rsidRPr="009B3DA6">
        <w:rPr>
          <w:rFonts w:ascii="Cambria" w:hAnsi="Cambria" w:cs="Times New Roman"/>
        </w:rPr>
        <w:t xml:space="preserve"> the amount of </w:t>
      </w:r>
      <w:r w:rsidR="009B3DA6">
        <w:rPr>
          <w:rFonts w:ascii="Cambria" w:hAnsi="Cambria" w:cs="Times New Roman"/>
        </w:rPr>
        <w:t>Z</w:t>
      </w:r>
      <w:r w:rsidR="009B3DA6" w:rsidRPr="009B3DA6">
        <w:rPr>
          <w:rFonts w:ascii="Cambria" w:hAnsi="Cambria" w:cs="Times New Roman"/>
        </w:rPr>
        <w:t xml:space="preserve">akat issued seen from the total net assets owned. Net </w:t>
      </w:r>
      <w:r w:rsidR="009B3DA6">
        <w:rPr>
          <w:rFonts w:ascii="Cambria" w:hAnsi="Cambria" w:cs="Times New Roman"/>
        </w:rPr>
        <w:t>purchase</w:t>
      </w:r>
      <w:r w:rsidR="009B3DA6" w:rsidRPr="009B3DA6">
        <w:rPr>
          <w:rFonts w:ascii="Cambria" w:hAnsi="Cambria" w:cs="Times New Roman"/>
        </w:rPr>
        <w:t xml:space="preserve">s are obtained from total assets after deducting debt. If the </w:t>
      </w:r>
      <w:r w:rsidR="009B3DA6">
        <w:rPr>
          <w:rFonts w:ascii="Cambria" w:hAnsi="Cambria" w:cs="Times New Roman"/>
        </w:rPr>
        <w:t>asset's value</w:t>
      </w:r>
      <w:r w:rsidR="009B3DA6" w:rsidRPr="009B3DA6">
        <w:rPr>
          <w:rFonts w:ascii="Cambria" w:hAnsi="Cambria" w:cs="Times New Roman"/>
        </w:rPr>
        <w:t xml:space="preserve"> is small, the </w:t>
      </w:r>
      <w:r w:rsidR="009B3DA6">
        <w:rPr>
          <w:rFonts w:ascii="Cambria" w:hAnsi="Cambria" w:cs="Times New Roman"/>
        </w:rPr>
        <w:t>Z</w:t>
      </w:r>
      <w:r w:rsidR="009B3DA6" w:rsidRPr="009B3DA6">
        <w:rPr>
          <w:rFonts w:ascii="Cambria" w:hAnsi="Cambria" w:cs="Times New Roman"/>
        </w:rPr>
        <w:t>akat paid is also small, and vice versa. If Islamic banks carry out sharia principles in an orderly manner, people will be more confident if their transaction activities run according to the teachings of Islamic law.</w:t>
      </w:r>
    </w:p>
    <w:p w14:paraId="4A712968" w14:textId="77777777" w:rsidR="009B3DA6" w:rsidRPr="00A144CA" w:rsidRDefault="009B3DA6" w:rsidP="00A144CA">
      <w:pPr>
        <w:spacing w:after="80" w:line="300" w:lineRule="exact"/>
        <w:ind w:firstLine="426"/>
        <w:jc w:val="both"/>
        <w:rPr>
          <w:rStyle w:val="notranslate"/>
          <w:rFonts w:ascii="Times New Roman" w:hAnsi="Times New Roman" w:cs="Times New Roman"/>
          <w:sz w:val="24"/>
        </w:rPr>
      </w:pPr>
    </w:p>
    <w:p w14:paraId="08422E5C" w14:textId="233ABCED" w:rsidR="00A144CA" w:rsidRPr="00A144CA" w:rsidRDefault="005730E8" w:rsidP="00A144CA">
      <w:pPr>
        <w:pStyle w:val="I-POINT"/>
        <w:spacing w:before="0"/>
        <w:rPr>
          <w:rStyle w:val="notranslate"/>
          <w:lang w:val="en-US"/>
        </w:rPr>
      </w:pPr>
      <w:r>
        <w:rPr>
          <w:rStyle w:val="notranslate"/>
          <w:lang w:val="en-US"/>
        </w:rPr>
        <w:t>Firm Perfo</w:t>
      </w:r>
      <w:r w:rsidR="009B3DA6">
        <w:rPr>
          <w:rStyle w:val="notranslate"/>
          <w:lang w:val="en-US"/>
        </w:rPr>
        <w:t>r</w:t>
      </w:r>
      <w:r>
        <w:rPr>
          <w:rStyle w:val="notranslate"/>
          <w:lang w:val="en-US"/>
        </w:rPr>
        <w:t>mance</w:t>
      </w:r>
    </w:p>
    <w:p w14:paraId="490A4083" w14:textId="5D47915F" w:rsidR="009B3DA6" w:rsidRPr="009B3DA6" w:rsidRDefault="00DC6EE4" w:rsidP="009B3DA6">
      <w:pPr>
        <w:spacing w:after="80" w:line="300" w:lineRule="exact"/>
        <w:ind w:firstLine="426"/>
        <w:jc w:val="both"/>
        <w:rPr>
          <w:rFonts w:ascii="Cambria" w:hAnsi="Cambria" w:cs="Times New Roman"/>
        </w:rPr>
      </w:pPr>
      <w:r w:rsidRPr="00BF5210">
        <w:rPr>
          <w:rFonts w:ascii="Cambria" w:hAnsi="Cambria" w:cs="Times New Roman"/>
        </w:rPr>
        <w:fldChar w:fldCharType="begin" w:fldLock="1"/>
      </w:r>
      <w:r w:rsidR="00E96528" w:rsidRPr="00BF5210">
        <w:rPr>
          <w:rFonts w:ascii="Cambria" w:hAnsi="Cambria" w:cs="Times New Roman"/>
        </w:rPr>
        <w:instrText>ADDIN CSL_CITATION {"citationItems":[{"id":"ITEM-1","itemData":{"DOI":"10.1108/BPMJ-10-2019-0411","ISSN":"1463-7154","abstract":"Purpose The main purpose of our study is to analyze the influence of Artificial Intelligence (AI) on firm performance, notably by building on the business value of AI-based transformation projects. This study was conducted using a four-step sequential approach: (1) analysis of AI and AI concepts/technologies; (2) in-depth exploration of case studies from a great number of industrial sectors; (3) data collection from the databases (websites) of AI-based solution providers; and (4) a review of AI literature to identify their impact on the performance of organizations while highlighting the business value of AI-enabled projects transformation within organizations. Design/methodology/approach This study has called on the theory of IT capabilities to seize the influence of AI business value on firm performance (at the organizational and process levels). The research process (responding to the research question, making discussions, interpretations and comparisons, and formulating recommendations) was based on a review of 500 case studies from IBM, AWS, Cloudera, Nvidia, Conversica, Universal Robots websites, etc. Studying the influence of AI on the performance of organizations, and more specifically, of the business value of such organizations’ AI-enabled transformation projects, required us to make an archival data analysis following the three steps, namely the conceptual phase, the refinement and development phase, and the assessment phase. Findings AI covers a wide range of technologies, including machine translation, chatbots and self-learning algorithms, all of which can allow individuals to better understand their environment and act accordingly. Organizations have been adopting AI technological innovations with a view to adapting to or disrupting their ecosystem while developing and optimizing their strategic and competitive advantages. AI fully expresses its potential through its ability to optimize existing processes and improve automation, information and transformation effects, but also to detect, predict and interact with humans. Thus, the results of our study have highlighted such AI benefits in organizations, and more specifically, its ability to improve on performance at both the organizational (financial, marketing and administrative) and process levels. By building on these AI attributes, organizations can, therefore, enhance the business value of their transformed projects. The same results also showed that organizations achieve performance …","author":[{"dropping-particle":"","family":"Wamba-Taguimdje","given":"Serge-Lopez","non-dropping-particle":"","parse-names":false,"suffix":""},{"dropping-particle":"","family":"Fosso Wamba","given":"Samuel","non-dropping-particle":"","parse-names":false,"suffix":""},{"dropping-particle":"","family":"Kala Kamdjoug","given":"Jean Robert","non-dropping-particle":"","parse-names":false,"suffix":""},{"dropping-particle":"","family":"Tchatchouang Wanko","given":"Chris Emmanuel","non-dropping-particle":"","parse-names":false,"suffix":""}],"container-title":"Business Process Management Journal","id":"ITEM-1","issue":"7","issued":{"date-parts":[["2020","1"]]},"page":"1893-1924","publisher":"Emerald Publishing Limited","title":"Influence of artificial intelligence (AI) on firm performance: the business value of AI-based transformation projects","type":"article-journal","volume":"26"},"uris":["http://www.mendeley.com/documents/?uuid=ce74047b-0068-4dd1-b609-30a3cd969b53","http://www.mendeley.com/documents/?uuid=4a370a7c-5599-4722-9bb4-d9bffdb94eb4"]}],"mendeley":{"formattedCitation":"(Wamba-Taguimdje et al., 2020)","manualFormatting":"Wamba-Taguimdje et al., (2020)","plainTextFormattedCitation":"(Wamba-Taguimdje et al., 2020)","previouslyFormattedCitation":"(Wamba-Taguimdje et al., 2020)"},"properties":{"noteIndex":0},"schema":"https://github.com/citation-style-language/schema/raw/master/csl-citation.json"}</w:instrText>
      </w:r>
      <w:r w:rsidRPr="00BF5210">
        <w:rPr>
          <w:rFonts w:ascii="Cambria" w:hAnsi="Cambria" w:cs="Times New Roman"/>
        </w:rPr>
        <w:fldChar w:fldCharType="separate"/>
      </w:r>
      <w:r w:rsidRPr="00BF5210">
        <w:rPr>
          <w:rFonts w:ascii="Cambria" w:hAnsi="Cambria" w:cs="Times New Roman"/>
          <w:noProof/>
        </w:rPr>
        <w:t xml:space="preserve">Wamba-Taguimdje et al., </w:t>
      </w:r>
      <w:r w:rsidRPr="00BF5210">
        <w:rPr>
          <w:rFonts w:ascii="Cambria" w:hAnsi="Cambria" w:cs="Times New Roman"/>
          <w:noProof/>
          <w:lang w:val="en-US"/>
        </w:rPr>
        <w:t>(</w:t>
      </w:r>
      <w:r w:rsidRPr="00BF5210">
        <w:rPr>
          <w:rFonts w:ascii="Cambria" w:hAnsi="Cambria" w:cs="Times New Roman"/>
          <w:noProof/>
        </w:rPr>
        <w:t>2020)</w:t>
      </w:r>
      <w:r w:rsidRPr="00BF5210">
        <w:rPr>
          <w:rFonts w:ascii="Cambria" w:hAnsi="Cambria" w:cs="Times New Roman"/>
        </w:rPr>
        <w:fldChar w:fldCharType="end"/>
      </w:r>
      <w:r w:rsidRPr="00BF5210">
        <w:rPr>
          <w:rFonts w:ascii="Cambria" w:hAnsi="Cambria" w:cs="Times New Roman"/>
          <w:lang w:val="en-US"/>
        </w:rPr>
        <w:t xml:space="preserve"> </w:t>
      </w:r>
      <w:r w:rsidR="009B3DA6" w:rsidRPr="00BF5210">
        <w:rPr>
          <w:rFonts w:ascii="Cambria" w:hAnsi="Cambria" w:cs="Times New Roman"/>
        </w:rPr>
        <w:t>expl</w:t>
      </w:r>
      <w:r w:rsidR="009B3DA6">
        <w:rPr>
          <w:rFonts w:ascii="Cambria" w:hAnsi="Cambria" w:cs="Times New Roman"/>
        </w:rPr>
        <w:t>ai</w:t>
      </w:r>
      <w:r w:rsidR="009B3DA6" w:rsidRPr="009B3DA6">
        <w:rPr>
          <w:rFonts w:ascii="Cambria" w:hAnsi="Cambria" w:cs="Times New Roman"/>
        </w:rPr>
        <w:t xml:space="preserve">n that firm performance is the company's efforts to generate profits. Firm performance has a direct effect on investor policies in the company concerned. If the firm's performance is large, the company will invest by increasing its funds, and vice versa, and be able to bring in new investors. This ratio is measured through all the factors owned by the company in obtaining profits. This ratio is supported by the </w:t>
      </w:r>
      <w:r w:rsidR="009B3DA6">
        <w:rPr>
          <w:rFonts w:ascii="Cambria" w:hAnsi="Cambria" w:cs="Times New Roman"/>
        </w:rPr>
        <w:t>number</w:t>
      </w:r>
      <w:r w:rsidR="009B3DA6" w:rsidRPr="009B3DA6">
        <w:rPr>
          <w:rFonts w:ascii="Cambria" w:hAnsi="Cambria" w:cs="Times New Roman"/>
        </w:rPr>
        <w:t xml:space="preserve"> of sales and investment, which means that if you want big profits, then sales and investment must be even greater.</w:t>
      </w:r>
    </w:p>
    <w:p w14:paraId="59AE5986" w14:textId="054C13E8" w:rsidR="009B3DA6" w:rsidRPr="00BF5210" w:rsidRDefault="00DC6EE4" w:rsidP="009B3DA6">
      <w:pPr>
        <w:spacing w:after="80" w:line="300" w:lineRule="exact"/>
        <w:ind w:firstLine="426"/>
        <w:jc w:val="both"/>
        <w:rPr>
          <w:rFonts w:ascii="Cambria" w:hAnsi="Cambria" w:cs="Times New Roman"/>
        </w:rPr>
      </w:pPr>
      <w:r w:rsidRPr="00BF5210">
        <w:rPr>
          <w:rFonts w:ascii="Cambria" w:hAnsi="Cambria" w:cs="Times New Roman"/>
        </w:rPr>
        <w:fldChar w:fldCharType="begin" w:fldLock="1"/>
      </w:r>
      <w:r w:rsidR="00E96528" w:rsidRPr="00BF5210">
        <w:rPr>
          <w:rFonts w:ascii="Cambria" w:hAnsi="Cambria" w:cs="Times New Roman"/>
        </w:rPr>
        <w:instrText>ADDIN CSL_CITATION {"citationItems":[{"id":"ITEM-1","itemData":{"DOI":"10.1108/ARA-01-2021-0008","ISSN":"1321-7348","abstract":"Purpose This research examines the influence of business strategy and intellectual capital on firm performance and bankruptcy risk of Oman's non-financial sector companies. Design/methodology/approach The data comprises 380 firm-year observations collected from 2015 to 2019 for the non-financial sector companies listed on the Muscat Securities Market. This study measures business strategy using the Miles and Snow typologies and Porter's strategies as alternative measures. The study uses the Granger-causality test to measure the bi-directional causality between independent and dependent variables. The authors use alternative measurements of business strategy and 2SLS/IV estimation to validate the OLS results. Findings According to the Miles and Snow typologies, most of Oman's non-financial firms were analyzers. The empirical results show a negative relationship between business strategy and return on equity (ROE), suggesting defender-type strategy leads to an increase in firm performance. The OLS results show no influence of A-VAIC on firm performance and Altman-Z score. The structural capital efficiency is positively associated with ROA, and Altman Z score consistent with the hypothesized relationship. The Granger causality test shows no inference of causality between any independent and dependent variables except for Z score and CEE. Research limitations/implications The business strategy results from the firm performance and bankruptcy risk models are valuable to the researchers from an emerging market and non-financial companies' perspective. Oman's diversification strategy of its economic activities through non-financial sector companies receives an impetus through the findings of this study. As this study is limited to Oman's non-financial sector companies, future research on business strategy impact can be extended to the financial sector, other GCC, and emerging countries. Originality/value The findings of this study contribute to the sparse literature on business strategy in an emerging market like Oman. This study enriches the knowledge of business strategy typologies proposed by Miles and Snow, and Porter. It also contributes to the extant literature on firm performance and bankruptcy risk.","author":[{"dropping-particle":"","family":"Dalwai","given":"Tamanna","non-dropping-particle":"","parse-names":false,"suffix":""},{"dropping-particle":"","family":"Salehi","given":"Mahdi","non-dropping-particle":"","parse-names":false,"suffix":""}],"container-title":"Asian Review of Accounting","id":"ITEM-1","issue":"3","issued":{"date-parts":[["2021","1"]]},"page":"474-504","publisher":"Emerald Publishing Limited","title":"Business strategy, intellectual capital, firm performance, and bankruptcy risk: evidence from Oman's non-financial sector companies","type":"article-journal","volume":"29"},"uris":["http://www.mendeley.com/documents/?uuid=b91f0bf4-a2df-43d2-b487-616d1e8b673a","http://www.mendeley.com/documents/?uuid=a4d5d386-2b44-465e-9cdf-63180bb46910"]}],"mendeley":{"formattedCitation":"(Dalwai &amp; Salehi, 2021)","manualFormatting":"Dalwai &amp; Salehi, (2021)","plainTextFormattedCitation":"(Dalwai &amp; Salehi, 2021)","previouslyFormattedCitation":"(Dalwai &amp; Salehi, 2021)"},"properties":{"noteIndex":0},"schema":"https://github.com/citation-style-language/schema/raw/master/csl-citation.json"}</w:instrText>
      </w:r>
      <w:r w:rsidRPr="00BF5210">
        <w:rPr>
          <w:rFonts w:ascii="Cambria" w:hAnsi="Cambria" w:cs="Times New Roman"/>
        </w:rPr>
        <w:fldChar w:fldCharType="separate"/>
      </w:r>
      <w:r w:rsidRPr="00BF5210">
        <w:rPr>
          <w:rFonts w:ascii="Cambria" w:hAnsi="Cambria" w:cs="Times New Roman"/>
          <w:noProof/>
        </w:rPr>
        <w:t xml:space="preserve">Dalwai &amp; Salehi, </w:t>
      </w:r>
      <w:r w:rsidRPr="00BF5210">
        <w:rPr>
          <w:rFonts w:ascii="Cambria" w:hAnsi="Cambria" w:cs="Times New Roman"/>
          <w:noProof/>
          <w:lang w:val="en-US"/>
        </w:rPr>
        <w:t>(</w:t>
      </w:r>
      <w:r w:rsidRPr="00BF5210">
        <w:rPr>
          <w:rFonts w:ascii="Cambria" w:hAnsi="Cambria" w:cs="Times New Roman"/>
          <w:noProof/>
        </w:rPr>
        <w:t>2021)</w:t>
      </w:r>
      <w:r w:rsidRPr="00BF5210">
        <w:rPr>
          <w:rFonts w:ascii="Cambria" w:hAnsi="Cambria" w:cs="Times New Roman"/>
        </w:rPr>
        <w:fldChar w:fldCharType="end"/>
      </w:r>
      <w:r w:rsidRPr="00BF5210">
        <w:rPr>
          <w:rFonts w:ascii="Cambria" w:hAnsi="Cambria" w:cs="Times New Roman"/>
          <w:lang w:val="en-US"/>
        </w:rPr>
        <w:t xml:space="preserve"> </w:t>
      </w:r>
      <w:r w:rsidR="009B3DA6" w:rsidRPr="00BF5210">
        <w:rPr>
          <w:rFonts w:ascii="Cambria" w:hAnsi="Cambria" w:cs="Times New Roman"/>
        </w:rPr>
        <w:t>explain that ROA measures firm performance to overall assets. If the firm's performance looks good, then the company's future can be more secure. This means that if the ROA ratio is getting better, the profits are getting better, and the company's position is also improving. ROA is measured through profit before tax.</w:t>
      </w:r>
    </w:p>
    <w:p w14:paraId="13E460F0" w14:textId="4C7E6633" w:rsidR="00A144CA" w:rsidRDefault="00E20BC5" w:rsidP="009B3DA6">
      <w:pPr>
        <w:spacing w:after="80" w:line="300" w:lineRule="exact"/>
        <w:ind w:firstLine="426"/>
        <w:jc w:val="both"/>
        <w:rPr>
          <w:rFonts w:ascii="Cambria" w:hAnsi="Cambria" w:cs="Times New Roman"/>
        </w:rPr>
      </w:pPr>
      <w:r w:rsidRPr="00BF5210">
        <w:rPr>
          <w:rFonts w:ascii="Cambria" w:hAnsi="Cambria" w:cs="Times New Roman"/>
        </w:rPr>
        <w:fldChar w:fldCharType="begin" w:fldLock="1"/>
      </w:r>
      <w:r w:rsidR="00E96528" w:rsidRPr="00BF5210">
        <w:rPr>
          <w:rFonts w:ascii="Cambria" w:hAnsi="Cambria" w:cs="Times New Roman"/>
        </w:rPr>
        <w:instrText>ADDIN CSL_CITATION {"citationItems":[{"id":"ITEM-1","itemData":{"author":[{"dropping-particle":"","family":"Hutauruk","given":"Martinus Robert","non-dropping-particle":"","parse-names":false,"suffix":""},{"dropping-particle":"","family":"Ghozali","given":"Imam","non-dropping-particle":"","parse-names":false,"suffix":""}],"container-title":"International Journal of Scientific and Technology Research","id":"ITEM-1","issue":"3","issued":{"date-parts":[["2020"]]},"page":"4633-4637","title":"Overview of return on investment on cigarette companies registered in indonesia stock exchange","type":"article-journal","volume":"9"},"uris":["http://www.mendeley.com/documents/?uuid=dc43d1ff-cabf-4841-b304-d5596251e4a4","http://www.mendeley.com/documents/?uuid=d724c9de-121d-40df-8f25-a050676397cb"]}],"mendeley":{"formattedCitation":"(Hutauruk &amp; Ghozali, 2020)","manualFormatting":"Hutauruk &amp; Ghozali (2020)","plainTextFormattedCitation":"(Hutauruk &amp; Ghozali, 2020)","previouslyFormattedCitation":"(Hutauruk &amp; Ghozali, 2020)"},"properties":{"noteIndex":0},"schema":"https://github.com/citation-style-language/schema/raw/master/csl-citation.json"}</w:instrText>
      </w:r>
      <w:r w:rsidRPr="00BF5210">
        <w:rPr>
          <w:rFonts w:ascii="Cambria" w:hAnsi="Cambria" w:cs="Times New Roman"/>
        </w:rPr>
        <w:fldChar w:fldCharType="separate"/>
      </w:r>
      <w:r w:rsidRPr="00BF5210">
        <w:rPr>
          <w:rFonts w:ascii="Cambria" w:hAnsi="Cambria" w:cs="Times New Roman"/>
          <w:noProof/>
        </w:rPr>
        <w:t xml:space="preserve">Hutauruk &amp; Ghozali </w:t>
      </w:r>
      <w:r w:rsidRPr="00BF5210">
        <w:rPr>
          <w:rFonts w:ascii="Cambria" w:hAnsi="Cambria" w:cs="Times New Roman"/>
          <w:noProof/>
          <w:lang w:val="en-US"/>
        </w:rPr>
        <w:t>(</w:t>
      </w:r>
      <w:r w:rsidRPr="00BF5210">
        <w:rPr>
          <w:rFonts w:ascii="Cambria" w:hAnsi="Cambria" w:cs="Times New Roman"/>
          <w:noProof/>
        </w:rPr>
        <w:t>2020)</w:t>
      </w:r>
      <w:r w:rsidRPr="00BF5210">
        <w:rPr>
          <w:rFonts w:ascii="Cambria" w:hAnsi="Cambria" w:cs="Times New Roman"/>
        </w:rPr>
        <w:fldChar w:fldCharType="end"/>
      </w:r>
      <w:r w:rsidRPr="00BF5210">
        <w:rPr>
          <w:rFonts w:ascii="Cambria" w:hAnsi="Cambria" w:cs="Times New Roman"/>
          <w:lang w:val="en-US"/>
        </w:rPr>
        <w:t xml:space="preserve"> </w:t>
      </w:r>
      <w:r w:rsidR="009B3DA6" w:rsidRPr="00BF5210">
        <w:rPr>
          <w:rFonts w:ascii="Cambria" w:hAnsi="Cambria" w:cs="Times New Roman"/>
        </w:rPr>
        <w:t>explain that ROE is a measuring tool in obtaining company profits</w:t>
      </w:r>
      <w:r w:rsidR="009B3DA6" w:rsidRPr="009B3DA6">
        <w:rPr>
          <w:rFonts w:ascii="Cambria" w:hAnsi="Cambria" w:cs="Times New Roman"/>
        </w:rPr>
        <w:t xml:space="preserve"> guided by the company's net income compared to the amount of capital. This ratio is also influenced by the size of the company's debt, which means that if the debt is high, this ratio will increase.</w:t>
      </w:r>
    </w:p>
    <w:p w14:paraId="0D50A98A" w14:textId="27FC524B" w:rsidR="009B3DA6" w:rsidRDefault="009B3DA6" w:rsidP="009B3DA6">
      <w:pPr>
        <w:spacing w:after="80" w:line="300" w:lineRule="exact"/>
        <w:ind w:firstLine="426"/>
        <w:jc w:val="both"/>
        <w:rPr>
          <w:rFonts w:ascii="Times New Roman" w:hAnsi="Times New Roman" w:cs="Times New Roman"/>
          <w:sz w:val="24"/>
        </w:rPr>
      </w:pPr>
    </w:p>
    <w:p w14:paraId="15EDE283" w14:textId="77777777" w:rsidR="009B3DA6" w:rsidRDefault="009B3DA6" w:rsidP="009B3DA6">
      <w:pPr>
        <w:spacing w:after="80" w:line="300" w:lineRule="exact"/>
        <w:ind w:firstLine="426"/>
        <w:jc w:val="both"/>
        <w:rPr>
          <w:rFonts w:ascii="Times New Roman" w:hAnsi="Times New Roman" w:cs="Times New Roman"/>
          <w:sz w:val="24"/>
        </w:rPr>
      </w:pPr>
    </w:p>
    <w:p w14:paraId="6B6F95E9" w14:textId="33F061EE" w:rsidR="00A144CA" w:rsidRPr="00A144CA" w:rsidRDefault="00A144CA" w:rsidP="009B3DA6">
      <w:pPr>
        <w:pStyle w:val="I-POINT"/>
        <w:spacing w:before="0"/>
        <w:rPr>
          <w:lang w:val="en-US"/>
        </w:rPr>
      </w:pPr>
      <w:r>
        <w:rPr>
          <w:rFonts w:eastAsia="Calibri Light"/>
          <w:lang w:val="en-US"/>
        </w:rPr>
        <w:t>Hypothesis Development</w:t>
      </w:r>
    </w:p>
    <w:p w14:paraId="10BC6DA9" w14:textId="29F3E9B3" w:rsidR="009B3DA6" w:rsidRPr="009B3DA6" w:rsidRDefault="00BC0FAA" w:rsidP="009B3DA6">
      <w:pPr>
        <w:spacing w:after="80" w:line="300" w:lineRule="exact"/>
        <w:ind w:firstLine="426"/>
        <w:jc w:val="both"/>
        <w:rPr>
          <w:rFonts w:ascii="Cambria" w:hAnsi="Cambria" w:cs="Times New Roman"/>
        </w:rPr>
      </w:pPr>
      <w:r w:rsidRPr="00BF5210">
        <w:rPr>
          <w:rFonts w:ascii="Cambria" w:hAnsi="Cambria" w:cs="Times New Roman"/>
        </w:rPr>
        <w:fldChar w:fldCharType="begin" w:fldLock="1"/>
      </w:r>
      <w:r w:rsidR="00E96528" w:rsidRPr="00BF5210">
        <w:rPr>
          <w:rFonts w:ascii="Cambria" w:hAnsi="Cambria" w:cs="Times New Roman"/>
        </w:rPr>
        <w:instrText>ADDIN CSL_CITATION {"citationItems":[{"id":"ITEM-1","itemData":{"DOI":"https://doi.org/10.1002/bse.2800","ISSN":"0964-4733","abstract":"Abstract This study examines how green intellectual capital (GIC) affects economic and green performance through green innovation. We show ways in which a firm's performance is influenced by three dimensions of GIC, that is, green human capital (GHC), green relational capital (GRC), and green structural capital (GSC), and use the mediating role of green innovation to explain the relationships. The results of a survey conducted on 138 high-tech firms indicate that the three GIC constructs positively affect economic performance, green performance, and green innovation, respectively. Further analysis finds that green innovation fully mediates the linkage of GHC?economic performance and GSC?green performance and partially mediates the linkage of GRC?economic performance and GRC?green performance. We find that green innovation does not mediate the linkage of GSC?economic performance and GHC?green performance, and this contributes towards business strategy and implementation of green innovation practices.","author":[{"dropping-particle":"","family":"Wang","given":"Chao Hung","non-dropping-particle":"","parse-names":false,"suffix":""},{"dropping-particle":"","family":"Juo","given":"Wei-Jr","non-dropping-particle":"","parse-names":false,"suffix":""}],"container-title":"Business Strategy and the Environment","id":"ITEM-1","issue":"7","issued":{"date-parts":[["2021","11"]]},"page":"3241-3254","publisher":"John Wiley &amp; Sons, Ltd","title":"An environmental policy of green intellectual capital: Green innovation strategy for performance sustainability","type":"article-journal","volume":"30"},"uris":["http://www.mendeley.com/documents/?uuid=0ad4405f-3070-46ca-b3be-5cfa28e45e84","http://www.mendeley.com/documents/?uuid=f9c8b894-05ac-4735-a753-cb1b127bf2fb"]}],"mendeley":{"formattedCitation":"(Wang &amp; Juo, 2021)","manualFormatting":"Wang &amp; Juo (2021)","plainTextFormattedCitation":"(Wang &amp; Juo, 2021)","previouslyFormattedCitation":"(Wang &amp; Juo, 2021)"},"properties":{"noteIndex":0},"schema":"https://github.com/citation-style-language/schema/raw/master/csl-citation.json"}</w:instrText>
      </w:r>
      <w:r w:rsidRPr="00BF5210">
        <w:rPr>
          <w:rFonts w:ascii="Cambria" w:hAnsi="Cambria" w:cs="Times New Roman"/>
        </w:rPr>
        <w:fldChar w:fldCharType="separate"/>
      </w:r>
      <w:r w:rsidRPr="00BF5210">
        <w:rPr>
          <w:rFonts w:ascii="Cambria" w:hAnsi="Cambria" w:cs="Times New Roman"/>
          <w:noProof/>
        </w:rPr>
        <w:t xml:space="preserve">Wang &amp; Juo </w:t>
      </w:r>
      <w:r w:rsidRPr="00BF5210">
        <w:rPr>
          <w:rFonts w:ascii="Cambria" w:hAnsi="Cambria" w:cs="Times New Roman"/>
          <w:noProof/>
          <w:lang w:val="en-US"/>
        </w:rPr>
        <w:t>(</w:t>
      </w:r>
      <w:r w:rsidRPr="00BF5210">
        <w:rPr>
          <w:rFonts w:ascii="Cambria" w:hAnsi="Cambria" w:cs="Times New Roman"/>
          <w:noProof/>
        </w:rPr>
        <w:t>2021)</w:t>
      </w:r>
      <w:r w:rsidRPr="00BF5210">
        <w:rPr>
          <w:rFonts w:ascii="Cambria" w:hAnsi="Cambria" w:cs="Times New Roman"/>
        </w:rPr>
        <w:fldChar w:fldCharType="end"/>
      </w:r>
      <w:r w:rsidRPr="00BF5210">
        <w:rPr>
          <w:rFonts w:ascii="Cambria" w:hAnsi="Cambria" w:cs="Times New Roman"/>
          <w:lang w:val="en-US"/>
        </w:rPr>
        <w:t xml:space="preserve"> </w:t>
      </w:r>
      <w:r w:rsidR="009B3DA6" w:rsidRPr="00BF5210">
        <w:rPr>
          <w:rFonts w:ascii="Cambria" w:hAnsi="Cambria" w:cs="Times New Roman"/>
        </w:rPr>
        <w:t xml:space="preserve">explains that intellectual capital is an intangible asset in the form of knowledge intelligence, which, if managed properly, will increase the effectiveness and efficiency of the company's strategy. </w:t>
      </w:r>
      <w:r w:rsidR="00D957D3" w:rsidRPr="00BF5210">
        <w:rPr>
          <w:rFonts w:ascii="Cambria" w:hAnsi="Cambria" w:cs="Times New Roman"/>
        </w:rPr>
        <w:fldChar w:fldCharType="begin" w:fldLock="1"/>
      </w:r>
      <w:r w:rsidR="00E96528" w:rsidRPr="00BF5210">
        <w:rPr>
          <w:rFonts w:ascii="Cambria" w:hAnsi="Cambria" w:cs="Times New Roman"/>
        </w:rPr>
        <w:instrText>ADDIN CSL_CITATION {"citationItems":[{"id":"ITEM-1","itemData":{"DOI":"https://doi.org/10.1002/jcaf.22371","ISSN":"1044-8136","abstract":"This article studies the effect of growth, firm size, capital structure, and profitability on enterprise value (EV) in Vietnam. The study used a panel of 1.070 observations at 214 companies listed on the Vietnamese stock market for the period of 2012?2016. According to regression results by generalized least squares and structural pathways analysis, the results detected size and profitability are positively correlated with the enterprise value, while capital structure is a factor that negatively affects the enterprise value. On the other hand, growth factor does not have any impact on enterprise value. However, when measuring enterprise value under EV or Tobin's Q, the statistical results are not entirely consistent. In addition, the results of the study have also shown that the measurement of EV on enterprise value will be more appropriate. The results of empirical research are useful to help businesses improve their values. ? 2019 Wiley Periodicals, Inc.","author":[{"dropping-particle":"","family":"Dang","given":"Hung Ngoc","non-dropping-particle":"","parse-names":false,"suffix":""},{"dropping-particle":"","family":"Vu","given":"Van Thi Thuy","non-dropping-particle":"","parse-names":false,"suffix":""},{"dropping-particle":"","family":"Ngo","given":"Xuan Thanh","non-dropping-particle":"","parse-names":false,"suffix":""},{"dropping-particle":"","family":"Hoang","given":"Ha Thi Viet","non-dropping-particle":"","parse-names":false,"suffix":""}],"container-title":"Journal of Corporate Accounting &amp; Finance","id":"ITEM-1","issue":"1","issued":{"date-parts":[["2019","1"]]},"page":"144-160","publisher":"John Wiley &amp; Sons, Ltd","title":"Study the Impact of Growth, Firm Size, Capital Structure, and Profitability on Enterprise Value: Evidence of Enterprises in Vietnam","type":"article-journal","volume":"30"},"uris":["http://www.mendeley.com/documents/?uuid=b5ae5d63-7ee9-4c0f-a52a-4fcac10acada","http://www.mendeley.com/documents/?uuid=082ad7ea-9ded-4966-a097-42d93e9a1f37"]}],"mendeley":{"formattedCitation":"(Dang et al., 2019)","manualFormatting":"Dang et al., (2019)","plainTextFormattedCitation":"(Dang et al., 2019)","previouslyFormattedCitation":"(Dang et al., 2019)"},"properties":{"noteIndex":0},"schema":"https://github.com/citation-style-language/schema/raw/master/csl-citation.json"}</w:instrText>
      </w:r>
      <w:r w:rsidR="00D957D3" w:rsidRPr="00BF5210">
        <w:rPr>
          <w:rFonts w:ascii="Cambria" w:hAnsi="Cambria" w:cs="Times New Roman"/>
        </w:rPr>
        <w:fldChar w:fldCharType="separate"/>
      </w:r>
      <w:r w:rsidR="00D957D3" w:rsidRPr="00BF5210">
        <w:rPr>
          <w:rFonts w:ascii="Cambria" w:hAnsi="Cambria" w:cs="Times New Roman"/>
          <w:noProof/>
        </w:rPr>
        <w:t xml:space="preserve">Dang et al., </w:t>
      </w:r>
      <w:r w:rsidR="00D957D3" w:rsidRPr="00BF5210">
        <w:rPr>
          <w:rFonts w:ascii="Cambria" w:hAnsi="Cambria" w:cs="Times New Roman"/>
          <w:noProof/>
          <w:lang w:val="en-US"/>
        </w:rPr>
        <w:t>(</w:t>
      </w:r>
      <w:r w:rsidR="00D957D3" w:rsidRPr="00BF5210">
        <w:rPr>
          <w:rFonts w:ascii="Cambria" w:hAnsi="Cambria" w:cs="Times New Roman"/>
          <w:noProof/>
        </w:rPr>
        <w:t>2019)</w:t>
      </w:r>
      <w:r w:rsidR="00D957D3" w:rsidRPr="00BF5210">
        <w:rPr>
          <w:rFonts w:ascii="Cambria" w:hAnsi="Cambria" w:cs="Times New Roman"/>
        </w:rPr>
        <w:fldChar w:fldCharType="end"/>
      </w:r>
      <w:r w:rsidR="00D957D3" w:rsidRPr="00BF5210">
        <w:rPr>
          <w:rFonts w:ascii="Cambria" w:hAnsi="Cambria" w:cs="Times New Roman"/>
          <w:lang w:val="en-US"/>
        </w:rPr>
        <w:t xml:space="preserve"> </w:t>
      </w:r>
      <w:r w:rsidR="009B3DA6" w:rsidRPr="00BF5210">
        <w:rPr>
          <w:rFonts w:ascii="Cambria" w:hAnsi="Cambria" w:cs="Times New Roman"/>
        </w:rPr>
        <w:t>explain that profitability will automatically increase if this variable shows an increasing number. This statement is supported by research by</w:t>
      </w:r>
      <w:r w:rsidR="009B3DA6" w:rsidRPr="00BF5210">
        <w:rPr>
          <w:rFonts w:ascii="Cambria" w:hAnsi="Cambria" w:cs="Times New Roman"/>
          <w:lang w:val="en-US"/>
        </w:rPr>
        <w:t xml:space="preserve"> </w:t>
      </w:r>
      <w:r w:rsidR="009B3DA6" w:rsidRPr="00BF5210">
        <w:rPr>
          <w:rFonts w:ascii="Cambria" w:hAnsi="Cambria" w:cs="Times New Roman"/>
          <w:lang w:val="en-US"/>
        </w:rPr>
        <w:fldChar w:fldCharType="begin" w:fldLock="1"/>
      </w:r>
      <w:r w:rsidR="00E96528" w:rsidRPr="00BF5210">
        <w:rPr>
          <w:rFonts w:ascii="Cambria" w:hAnsi="Cambria" w:cs="Times New Roman"/>
          <w:lang w:val="en-US"/>
        </w:rPr>
        <w:instrText>ADDIN CSL_CITATION {"citationItems":[{"id":"ITEM-1","itemData":{"DOI":"10.1016/j.apmrv.2021.03.002","ISSN":"10293132","abstract":"Purpose: This study aims to investigate the relationship between intellectual capital and the financial performance of 7 Colombian banks for the period 2010–2016. Design/methodology/approach: The information on the variables analysed was taken from each bank's financial statement and the information on the market variables was obtained from the Colombian Stock Exchange. The value added intellectual coefficient (VAIC)TM method is used to identify whether there is a positive relationship with the following financial performance indicators: Return on assets (ROA), Market value (Market to book – MTB) and Tobin's q (share value indicator). Intellectual capital efficiencies (human and structural capital) and capital employed have been analysed and their impact on financial performance has been measured through and econometric model. Conclusions: The analysis indicates that associations between (VAIC)TM, financial performance and corporate value are varied, so a homogeneous trend cannot be identified. Originality/value: This is one of the first research works in Colombia which analyses the incidence or impact of (VAIC)TM on financial and market performance of the banking sector in the long term.","author":[{"dropping-particle":"","family":"García Castro","given":"Juan Pablo","non-dropping-particle":"","parse-names":false,"suffix":""},{"dropping-particle":"","family":"Duque Ramírez","given":"Diego Fernando","non-dropping-particle":"","parse-names":false,"suffix":""},{"dropping-particle":"","family":"Moscoso Escobar","given":"Jenny","non-dropping-particle":"","parse-names":false,"suffix":""}],"container-title":"Asia Pacific Management Review","id":"ITEM-1","issue":"4","issued":{"date-parts":[["2021"]]},"page":"237-247","publisher":"The Authors","title":"The relationship between intellectual capital and financial performance in Colombian listed banking entities","type":"article-journal","volume":"26"},"uris":["http://www.mendeley.com/documents/?uuid=9841a308-c94e-495f-b1f4-e88292ae01c4"]}],"mendeley":{"formattedCitation":"(García Castro et al., 2021)","manualFormatting":"Castro et al., (2021)","plainTextFormattedCitation":"(García Castro et al., 2021)","previouslyFormattedCitation":"(García Castro et al., 2021)"},"properties":{"noteIndex":0},"schema":"https://github.com/citation-style-language/schema/raw/master/csl-citation.json"}</w:instrText>
      </w:r>
      <w:r w:rsidR="009B3DA6" w:rsidRPr="00BF5210">
        <w:rPr>
          <w:rFonts w:ascii="Cambria" w:hAnsi="Cambria" w:cs="Times New Roman"/>
          <w:lang w:val="en-US"/>
        </w:rPr>
        <w:fldChar w:fldCharType="separate"/>
      </w:r>
      <w:r w:rsidR="009B3DA6" w:rsidRPr="00BF5210">
        <w:rPr>
          <w:rFonts w:ascii="Cambria" w:hAnsi="Cambria" w:cs="Times New Roman"/>
          <w:noProof/>
          <w:lang w:val="en-US"/>
        </w:rPr>
        <w:t>Castro et al., (2021)</w:t>
      </w:r>
      <w:r w:rsidR="009B3DA6" w:rsidRPr="00BF5210">
        <w:rPr>
          <w:rFonts w:ascii="Cambria" w:hAnsi="Cambria" w:cs="Times New Roman"/>
          <w:lang w:val="en-US"/>
        </w:rPr>
        <w:fldChar w:fldCharType="end"/>
      </w:r>
      <w:r w:rsidR="009B3DA6" w:rsidRPr="00BF5210">
        <w:rPr>
          <w:rFonts w:ascii="Cambria" w:hAnsi="Cambria" w:cs="Times New Roman"/>
        </w:rPr>
        <w:t>,</w:t>
      </w:r>
      <w:r w:rsidR="009B3DA6" w:rsidRPr="009B3DA6">
        <w:rPr>
          <w:rFonts w:ascii="Cambria" w:hAnsi="Cambria" w:cs="Times New Roman"/>
        </w:rPr>
        <w:t xml:space="preserve"> which </w:t>
      </w:r>
      <w:r w:rsidR="009B3DA6">
        <w:rPr>
          <w:rFonts w:ascii="Cambria" w:hAnsi="Cambria" w:cs="Times New Roman"/>
        </w:rPr>
        <w:t>is</w:t>
      </w:r>
      <w:r w:rsidR="009B3DA6" w:rsidRPr="009B3DA6">
        <w:rPr>
          <w:rFonts w:ascii="Cambria" w:hAnsi="Cambria" w:cs="Times New Roman"/>
        </w:rPr>
        <w:t xml:space="preserve"> influential.</w:t>
      </w:r>
    </w:p>
    <w:p w14:paraId="27C7A006" w14:textId="77777777" w:rsidR="009B3DA6" w:rsidRPr="009B3DA6" w:rsidRDefault="009B3DA6" w:rsidP="009B3DA6">
      <w:pPr>
        <w:spacing w:after="80" w:line="300" w:lineRule="exact"/>
        <w:ind w:firstLine="426"/>
        <w:jc w:val="both"/>
        <w:rPr>
          <w:rFonts w:ascii="Cambria" w:hAnsi="Cambria" w:cs="Times New Roman"/>
          <w:i/>
          <w:iCs/>
        </w:rPr>
      </w:pPr>
      <w:r w:rsidRPr="009B3DA6">
        <w:rPr>
          <w:rFonts w:ascii="Cambria" w:hAnsi="Cambria" w:cs="Times New Roman"/>
          <w:i/>
          <w:iCs/>
        </w:rPr>
        <w:t>H1: intellectual capital has a positive effect on ROA</w:t>
      </w:r>
    </w:p>
    <w:p w14:paraId="3052BF6D" w14:textId="77777777" w:rsidR="009B3DA6" w:rsidRPr="00BF5210" w:rsidRDefault="009B3DA6" w:rsidP="009B3DA6">
      <w:pPr>
        <w:spacing w:after="80" w:line="300" w:lineRule="exact"/>
        <w:ind w:firstLine="426"/>
        <w:jc w:val="both"/>
        <w:rPr>
          <w:rFonts w:ascii="Cambria" w:hAnsi="Cambria" w:cs="Times New Roman"/>
          <w:i/>
          <w:iCs/>
        </w:rPr>
      </w:pPr>
      <w:r w:rsidRPr="00BF5210">
        <w:rPr>
          <w:rFonts w:ascii="Cambria" w:hAnsi="Cambria" w:cs="Times New Roman"/>
          <w:i/>
          <w:iCs/>
        </w:rPr>
        <w:t>H2: intellectual capital has a positive effect on ROE</w:t>
      </w:r>
    </w:p>
    <w:p w14:paraId="718689BE" w14:textId="3D80E172" w:rsidR="009B3DA6" w:rsidRPr="00BF5210" w:rsidRDefault="00076589" w:rsidP="009B3DA6">
      <w:pPr>
        <w:spacing w:after="80" w:line="300" w:lineRule="exact"/>
        <w:ind w:firstLine="426"/>
        <w:jc w:val="both"/>
        <w:rPr>
          <w:rFonts w:ascii="Cambria" w:hAnsi="Cambria" w:cs="Times New Roman"/>
        </w:rPr>
      </w:pPr>
      <w:r w:rsidRPr="00BF5210">
        <w:rPr>
          <w:rFonts w:ascii="Cambria" w:hAnsi="Cambria" w:cs="Times New Roman"/>
        </w:rPr>
        <w:fldChar w:fldCharType="begin" w:fldLock="1"/>
      </w:r>
      <w:r w:rsidR="00E96528" w:rsidRPr="00BF5210">
        <w:rPr>
          <w:rFonts w:ascii="Cambria" w:hAnsi="Cambria" w:cs="Times New Roman"/>
        </w:rPr>
        <w:instrText>ADDIN CSL_CITATION {"citationItems":[{"id":"ITEM-1","itemData":{"DOI":"10.1108/IJIF-08-2018-0088","ISSN":"0128-1976","abstract":"Purpose-This paper considers zakat (Islamic tax) as an alternative indicator to measure the performance of Islamic banks (IBs). It aims to examine whether zakat ratios can be used as Islamic performance (ISPER) indicators for IBs besides the conventional performance (COPER) indicators. Design/methodology/approach-The investigation covered a sample of 214 yearly observations of 37 IBs located in Indonesia, Malaysia, Bahrain, Saudi Arabia and the United Arab Emirates for the period 2007-2015. This study used a single-factor congeneric model and confirmatory factor analysis, performed using the AMOS 23.0 software. Findings-The findings assert that the discriminant validity of multi-bank performance, as measured by ISPER [zakat on assets (ZOA) and zakat on equity (ZOE)] and COPER indicators (return on assets, return on equity and operational efficiency in terms of assets), is very high. Hence, ISPER and COPER measurements are valid, either together to measure the multi-performance of IBs from both the Islamic and conventional perspectives, or independently as each measurement is valid to measure the Islamic and conventional performance if it is used separately. Research limitations/implications-This paper does not investigate whether the findings are constant across time. This represents one of the limitations of this study. Practical implications-It is strongly recommended that IBs calculate and disclose zakat ratios, particularly ZOA and ZOE, in their annual reports. Researchers and academicians should use these ratios for measuring the ISPER of IBs, either along with COPER or separately. Originality/value-Empirical evidence is provided in this paper on the development and validity of zakat ratios as ISPER indicators in the Islamic banking industry. Zakat ratios are suitable indicators that can measure IBs' performance and achieve the goals of IBs as well as those of Islamic economics.","author":[{"dropping-particle":"","family":"Nomran","given":"Naji Mansour","non-dropping-particle":"","parse-names":false,"suffix":""},{"dropping-particle":"","family":"Haron","given":"Razali","non-dropping-particle":"","parse-names":false,"suffix":""}],"container-title":"ISRA International Journal of Islamic Finance","id":"ITEM-1","issue":"1","issued":{"date-parts":[["2022"]]},"page":"38-58","title":"Validity of zakat ratios as Islamic performance indicators in Islamic banking: a congeneric model and confirmatory factor analysis","type":"article-journal","volume":"14"},"uris":["http://www.mendeley.com/documents/?uuid=a857de48-6ecc-4830-afcb-b82a221cd098","http://www.mendeley.com/documents/?uuid=03a90268-37f7-3e68-bb9b-f7c75780f236"]}],"mendeley":{"formattedCitation":"(Nomran &amp; Haron, 2022)","manualFormatting":"Nomran &amp; Haron, (2022)","plainTextFormattedCitation":"(Nomran &amp; Haron, 2022)","previouslyFormattedCitation":"(Nomran &amp; Haron, 2022)"},"properties":{"noteIndex":0},"schema":"https://github.com/citation-style-language/schema/raw/master/csl-citation.json"}</w:instrText>
      </w:r>
      <w:r w:rsidRPr="00BF5210">
        <w:rPr>
          <w:rFonts w:ascii="Cambria" w:hAnsi="Cambria" w:cs="Times New Roman"/>
        </w:rPr>
        <w:fldChar w:fldCharType="separate"/>
      </w:r>
      <w:r w:rsidRPr="00BF5210">
        <w:rPr>
          <w:rFonts w:ascii="Cambria" w:hAnsi="Cambria" w:cs="Times New Roman"/>
          <w:noProof/>
        </w:rPr>
        <w:t xml:space="preserve">Nomran &amp; Haron, </w:t>
      </w:r>
      <w:r w:rsidRPr="00BF5210">
        <w:rPr>
          <w:rFonts w:ascii="Cambria" w:hAnsi="Cambria" w:cs="Times New Roman"/>
          <w:noProof/>
          <w:lang w:val="en-US"/>
        </w:rPr>
        <w:t>(</w:t>
      </w:r>
      <w:r w:rsidRPr="00BF5210">
        <w:rPr>
          <w:rFonts w:ascii="Cambria" w:hAnsi="Cambria" w:cs="Times New Roman"/>
          <w:noProof/>
        </w:rPr>
        <w:t>2022)</w:t>
      </w:r>
      <w:r w:rsidRPr="00BF5210">
        <w:rPr>
          <w:rFonts w:ascii="Cambria" w:hAnsi="Cambria" w:cs="Times New Roman"/>
        </w:rPr>
        <w:fldChar w:fldCharType="end"/>
      </w:r>
      <w:r w:rsidRPr="00BF5210">
        <w:rPr>
          <w:rFonts w:ascii="Cambria" w:hAnsi="Cambria" w:cs="Times New Roman"/>
          <w:lang w:val="en-US"/>
        </w:rPr>
        <w:t xml:space="preserve"> </w:t>
      </w:r>
      <w:r w:rsidR="009B3DA6" w:rsidRPr="00BF5210">
        <w:rPr>
          <w:rFonts w:ascii="Cambria" w:hAnsi="Cambria" w:cs="Times New Roman"/>
        </w:rPr>
        <w:t xml:space="preserve">illustrates that the Zakat performing ratio is the size of all company assets issued to serve Zakat as a substitute for the same profit ratio if measured through conventional performance. </w:t>
      </w:r>
      <w:r w:rsidRPr="00BF5210">
        <w:rPr>
          <w:rFonts w:ascii="Cambria" w:hAnsi="Cambria" w:cs="Times New Roman"/>
        </w:rPr>
        <w:fldChar w:fldCharType="begin" w:fldLock="1"/>
      </w:r>
      <w:r w:rsidR="00E96528" w:rsidRPr="00BF5210">
        <w:rPr>
          <w:rFonts w:ascii="Cambria" w:hAnsi="Cambria" w:cs="Times New Roman"/>
        </w:rPr>
        <w:instrText>ADDIN CSL_CITATION {"citationItems":[{"id":"ITEM-1","itemData":{"DOI":"10.1108/JIABR-11-2016-0142","ISSN":"1759-0817","abstract":"Purpose Previous studies on tax compliance have not internally failed to consider why individuals avoid tax payments. The purpose of this paper is to explore the compliance behaviour of Indonesian taxpayers from holistic human nature perspectives including their rational, social and spiritual values. Design/methodology/approach This paper adopts the tabayyun approach, an interpretive conceptualised methodology using Islamic knowledge to explore taxpayers' rational, social and spiritual realities. Findings Tax compliance is influenced by holistic factors: personal economic rational, social consensus and spiritual beliefs. Rational taxpayers distrust tax authority and see tax payments as an economic decision (i.e. costs and benefits) that reduces/increases wealth. So, they tend to avoid or reconfigure payments. Opposite to economic rationally is the societal pressure upon taxpayers to converge to being an acceptable citizen with legitimate businesses. Under this view, no mistrust against tax authority exists. As for the spiritual factor, tax payments are seen as religious duties like zakat that ought to be paid for achieving spiritual alleviation. Research limitations/implications Due to the research approach, this study results may lack generalisation. Future research can expand broader understanding of religious belief in corporation with compliance behaviour. Practical implications In the tax policy context, this study recommends to take into consideration religious levy being included in the tax system. This study also argues substituting tax with zakat. In Indonesia, religious levy takes more essential roles in the spiritual domain rather than economical domain. Social implications It is difficult to expect tax compliance to be an internal compliance because the source of the command is of an external origin. It is considered as a new concept of wealth distribution that comes from an internal attribute. For states that have religious population as Indonesia, religious values become communal bonds that more dominantly form self-identity at both physical and mental levels. Hence, it is very essential for the state to consider the inclusion of religious values or teachings to the regulation, if the state wants such regulation to be adhered significantly by people. The collection instrument whose bonds originated in religious moral/spiritual values can raise the awareness and compliance voluntarily because the command source is internal and autonomous. O…","author":[{"dropping-particle":"","family":"Fidiana","given":"Fidiana","non-dropping-particle":"","parse-names":false,"suffix":""}],"container-title":"Journal of Islamic Accounting and Business Research","id":"ITEM-1","issue":"5","issued":{"date-parts":[["2020","1"]]},"page":"1145-1158","publisher":"Emerald Publishing Limited","title":"Compliance behaviour from the holistic human nature perspective","type":"article-journal","volume":"11"},"uris":["http://www.mendeley.com/documents/?uuid=dab56873-c3de-472f-87e8-393699fada69","http://www.mendeley.com/documents/?uuid=040f77f8-b253-4bc0-804b-94f5e24e9f66"]}],"mendeley":{"formattedCitation":"(Fidiana, 2020)","manualFormatting":"Fidiana (2020)","plainTextFormattedCitation":"(Fidiana, 2020)","previouslyFormattedCitation":"(Fidiana, 2020)"},"properties":{"noteIndex":0},"schema":"https://github.com/citation-style-language/schema/raw/master/csl-citation.json"}</w:instrText>
      </w:r>
      <w:r w:rsidRPr="00BF5210">
        <w:rPr>
          <w:rFonts w:ascii="Cambria" w:hAnsi="Cambria" w:cs="Times New Roman"/>
        </w:rPr>
        <w:fldChar w:fldCharType="separate"/>
      </w:r>
      <w:r w:rsidRPr="00BF5210">
        <w:rPr>
          <w:rFonts w:ascii="Cambria" w:hAnsi="Cambria" w:cs="Times New Roman"/>
          <w:noProof/>
        </w:rPr>
        <w:t xml:space="preserve">Fidiana </w:t>
      </w:r>
      <w:r w:rsidRPr="00BF5210">
        <w:rPr>
          <w:rFonts w:ascii="Cambria" w:hAnsi="Cambria" w:cs="Times New Roman"/>
          <w:noProof/>
          <w:lang w:val="en-US"/>
        </w:rPr>
        <w:t>(</w:t>
      </w:r>
      <w:r w:rsidRPr="00BF5210">
        <w:rPr>
          <w:rFonts w:ascii="Cambria" w:hAnsi="Cambria" w:cs="Times New Roman"/>
          <w:noProof/>
        </w:rPr>
        <w:t>2020)</w:t>
      </w:r>
      <w:r w:rsidRPr="00BF5210">
        <w:rPr>
          <w:rFonts w:ascii="Cambria" w:hAnsi="Cambria" w:cs="Times New Roman"/>
        </w:rPr>
        <w:fldChar w:fldCharType="end"/>
      </w:r>
      <w:r w:rsidRPr="00BF5210">
        <w:rPr>
          <w:rFonts w:ascii="Cambria" w:hAnsi="Cambria" w:cs="Times New Roman"/>
          <w:lang w:val="en-US"/>
        </w:rPr>
        <w:t xml:space="preserve"> </w:t>
      </w:r>
      <w:r w:rsidR="009B3DA6" w:rsidRPr="00BF5210">
        <w:rPr>
          <w:rFonts w:ascii="Cambria" w:hAnsi="Cambria" w:cs="Times New Roman"/>
        </w:rPr>
        <w:t xml:space="preserve">explains that if the Zakat performing ratio adheres to the notion that if you pay tithe, the assets will not decrease but will increase. This statement is supported by Mayasari's research (2020) and the effective results. </w:t>
      </w:r>
      <w:r w:rsidR="007040E7" w:rsidRPr="00BF5210">
        <w:rPr>
          <w:rFonts w:ascii="Cambria" w:hAnsi="Cambria" w:cs="Times New Roman"/>
        </w:rPr>
        <w:fldChar w:fldCharType="begin" w:fldLock="1"/>
      </w:r>
      <w:r w:rsidR="00E96528" w:rsidRPr="00BF5210">
        <w:rPr>
          <w:rFonts w:ascii="Cambria" w:hAnsi="Cambria" w:cs="Times New Roman"/>
        </w:rPr>
        <w:instrText>ADDIN CSL_CITATION {"citationItems":[{"id":"ITEM-1","itemData":{"DOI":"10.1108/JIABR-11-2016-0139","ISSN":"1759-0817","abstract":"Purpose The purpose of this study is to investigate the relationship between ethical values and performance in the context of the banking sector in Malaysia. Design/methodology/approach Based on the philanthropic model, this study posits that firms undertaking zakat and charity are ethical firms. Zakat disclosure index (ZDI) and charity disclosure index (CDI) were constructed to measure ethical values. This study hypothesises that ethical values are positively associated with bank performance. Ethical values (i.e. CDI and ZDI) and financial performance data (i.e. return on assets) were collected from the disclosures made in the annual reports of 50 banks for a period of five years (2010-2014). Findings A positive association was found between zakat disclosure and bank performance. The results indicate that higher zakat disclosure is associated with greater bank performance. However, no relationship was found between charity disclosure and bank performance. Research limitations/implications Considering the limitation of the index used in this study, other dimensions such as corporate governance, sustainability, products and environment can be considered in the development of index to measure ethical values in future studies. Originality/value This study offers additional explanation on the relationship between ethical values and performance by examining the role of zakat disclosures that characterize the unique aspects of Malaysian companies.","author":[{"dropping-particle":"","family":"Tuan Ibrahim","given":"Tuan Azma Fatiema","non-dropping-particle":"","parse-names":false,"suffix":""},{"dropping-particle":"","family":"Hashim","given":"Hafiza Aishah","non-dropping-particle":"","parse-names":false,"suffix":""},{"dropping-particle":"","family":"Mohamad Ariff","given":"Akmalia","non-dropping-particle":"","parse-names":false,"suffix":""}],"container-title":"Journal of Islamic Accounting and Business Research","id":"ITEM-1","issue":"1","issued":{"date-parts":[["2020","1"]]},"page":"233-256","publisher":"Emerald Publishing Limited","title":"Ethical values and bank performance: evidence from financial institutions in Malaysia","type":"article-journal","volume":"11"},"uris":["http://www.mendeley.com/documents/?uuid=bf26dcad-a39e-4845-bd38-468496e52f99","http://www.mendeley.com/documents/?uuid=213b1633-265a-42de-a0c8-e7e3317ce676"]}],"mendeley":{"formattedCitation":"(Tuan Ibrahim et al., 2020)","manualFormatting":"Tuan Ibrahim et al., (2020)","plainTextFormattedCitation":"(Tuan Ibrahim et al., 2020)","previouslyFormattedCitation":"(Tuan Ibrahim et al., 2020)"},"properties":{"noteIndex":0},"schema":"https://github.com/citation-style-language/schema/raw/master/csl-citation.json"}</w:instrText>
      </w:r>
      <w:r w:rsidR="007040E7" w:rsidRPr="00BF5210">
        <w:rPr>
          <w:rFonts w:ascii="Cambria" w:hAnsi="Cambria" w:cs="Times New Roman"/>
        </w:rPr>
        <w:fldChar w:fldCharType="separate"/>
      </w:r>
      <w:r w:rsidR="007040E7" w:rsidRPr="00BF5210">
        <w:rPr>
          <w:rFonts w:ascii="Cambria" w:hAnsi="Cambria" w:cs="Times New Roman"/>
          <w:noProof/>
        </w:rPr>
        <w:t xml:space="preserve">Tuan Ibrahim et al., </w:t>
      </w:r>
      <w:r w:rsidR="007040E7" w:rsidRPr="00BF5210">
        <w:rPr>
          <w:rFonts w:ascii="Cambria" w:hAnsi="Cambria" w:cs="Times New Roman"/>
          <w:noProof/>
          <w:lang w:val="en-US"/>
        </w:rPr>
        <w:t>(</w:t>
      </w:r>
      <w:r w:rsidR="007040E7" w:rsidRPr="00BF5210">
        <w:rPr>
          <w:rFonts w:ascii="Cambria" w:hAnsi="Cambria" w:cs="Times New Roman"/>
          <w:noProof/>
        </w:rPr>
        <w:t>2020)</w:t>
      </w:r>
      <w:r w:rsidR="007040E7" w:rsidRPr="00BF5210">
        <w:rPr>
          <w:rFonts w:ascii="Cambria" w:hAnsi="Cambria" w:cs="Times New Roman"/>
        </w:rPr>
        <w:fldChar w:fldCharType="end"/>
      </w:r>
      <w:r w:rsidR="007040E7" w:rsidRPr="00BF5210">
        <w:rPr>
          <w:rFonts w:ascii="Cambria" w:hAnsi="Cambria" w:cs="Times New Roman"/>
          <w:lang w:val="en-US"/>
        </w:rPr>
        <w:t xml:space="preserve"> </w:t>
      </w:r>
      <w:r w:rsidR="009B3DA6" w:rsidRPr="00BF5210">
        <w:rPr>
          <w:rFonts w:ascii="Cambria" w:hAnsi="Cambria" w:cs="Times New Roman"/>
        </w:rPr>
        <w:t>explain that the performing zakat ratio is a ratio in seeing how much Zakat is compared to net income, meaning that if the net income is high, then the Zakat given is also of a high nominal value. This statement is supported by the research of Rahayu et al. (2020), with results that have a positive effect on</w:t>
      </w:r>
    </w:p>
    <w:p w14:paraId="515F335C" w14:textId="77777777" w:rsidR="009B3DA6" w:rsidRPr="00BF5210" w:rsidRDefault="009B3DA6" w:rsidP="009B3DA6">
      <w:pPr>
        <w:spacing w:after="80" w:line="300" w:lineRule="exact"/>
        <w:ind w:firstLine="426"/>
        <w:jc w:val="both"/>
        <w:rPr>
          <w:rFonts w:ascii="Cambria" w:hAnsi="Cambria" w:cs="Times New Roman"/>
          <w:i/>
          <w:iCs/>
        </w:rPr>
      </w:pPr>
      <w:r w:rsidRPr="00BF5210">
        <w:rPr>
          <w:rFonts w:ascii="Cambria" w:hAnsi="Cambria" w:cs="Times New Roman"/>
          <w:i/>
          <w:iCs/>
        </w:rPr>
        <w:t>H3: zakat performing ratio has a positive effect on ROA</w:t>
      </w:r>
    </w:p>
    <w:p w14:paraId="4C423BA5" w14:textId="77777777" w:rsidR="009B3DA6" w:rsidRPr="00BF5210" w:rsidRDefault="009B3DA6" w:rsidP="009B3DA6">
      <w:pPr>
        <w:spacing w:after="80" w:line="300" w:lineRule="exact"/>
        <w:ind w:firstLine="426"/>
        <w:jc w:val="both"/>
        <w:rPr>
          <w:rFonts w:ascii="Cambria" w:hAnsi="Cambria" w:cs="Times New Roman"/>
          <w:i/>
          <w:iCs/>
        </w:rPr>
      </w:pPr>
      <w:r w:rsidRPr="00BF5210">
        <w:rPr>
          <w:rFonts w:ascii="Cambria" w:hAnsi="Cambria" w:cs="Times New Roman"/>
          <w:i/>
          <w:iCs/>
        </w:rPr>
        <w:t>H4: zakat performing ratio has a positive effect on ROE</w:t>
      </w:r>
    </w:p>
    <w:p w14:paraId="23F70003" w14:textId="73820B16" w:rsidR="009B3DA6" w:rsidRPr="009B3DA6" w:rsidRDefault="00E34B06" w:rsidP="009B3DA6">
      <w:pPr>
        <w:spacing w:after="80" w:line="300" w:lineRule="exact"/>
        <w:ind w:firstLine="426"/>
        <w:jc w:val="both"/>
        <w:rPr>
          <w:rFonts w:ascii="Cambria" w:hAnsi="Cambria" w:cs="Times New Roman"/>
        </w:rPr>
      </w:pPr>
      <w:r w:rsidRPr="00BF5210">
        <w:rPr>
          <w:rFonts w:ascii="Cambria" w:hAnsi="Cambria" w:cs="Times New Roman"/>
        </w:rPr>
        <w:fldChar w:fldCharType="begin" w:fldLock="1"/>
      </w:r>
      <w:r w:rsidR="00E96528" w:rsidRPr="00BF5210">
        <w:rPr>
          <w:rFonts w:ascii="Cambria" w:hAnsi="Cambria" w:cs="Times New Roman"/>
        </w:rPr>
        <w:instrText>ADDIN CSL_CITATION {"citationItems":[{"id":"ITEM-1","itemData":{"DOI":"https://doi.org/10.1016/j.irfa.2021.101775","ISSN":"1057-5219","abstract":"This article focuses on the role of commercial banks as creators of money, and specifically on their rent extraction power in the form of seigniorage. The article examines how the relative size of banks in the payment system combines with their capacity (and limits) to determine quantities and prices in the market for demand deposits, giving them the power to extract rents – seigniorage – from the economy, and clarifies the distinction between seigniorage from commercial bank money creation and profits from pure financial intermediation. The article studies how this form of seigniorage affects aggregate output, prices, and resource distribution, and draws political-economy and economic-policy implications.","author":[{"dropping-particle":"","family":"Bossone","given":"Biagio","non-dropping-particle":"","parse-names":false,"suffix":""}],"container-title":"International Review of Financial Analysis","id":"ITEM-1","issued":{"date-parts":[["2021"]]},"page":"101775","title":"Commercial bank seigniorage and the macroeconomy","type":"article-journal","volume":"76"},"uris":["http://www.mendeley.com/documents/?uuid=6ec3b368-a63b-49a4-9eff-161f3ddcd104","http://www.mendeley.com/documents/?uuid=96f09886-a577-447c-b894-01bf44e657fd"]}],"mendeley":{"formattedCitation":"(Bossone, 2021)","manualFormatting":"Bossone (2021)","plainTextFormattedCitation":"(Bossone, 2021)","previouslyFormattedCitation":"(Bossone, 2021)"},"properties":{"noteIndex":0},"schema":"https://github.com/citation-style-language/schema/raw/master/csl-citation.json"}</w:instrText>
      </w:r>
      <w:r w:rsidRPr="00BF5210">
        <w:rPr>
          <w:rFonts w:ascii="Cambria" w:hAnsi="Cambria" w:cs="Times New Roman"/>
        </w:rPr>
        <w:fldChar w:fldCharType="separate"/>
      </w:r>
      <w:r w:rsidRPr="00BF5210">
        <w:rPr>
          <w:rFonts w:ascii="Cambria" w:hAnsi="Cambria" w:cs="Times New Roman"/>
          <w:noProof/>
        </w:rPr>
        <w:t xml:space="preserve">Bossone </w:t>
      </w:r>
      <w:r w:rsidRPr="00BF5210">
        <w:rPr>
          <w:rFonts w:ascii="Cambria" w:hAnsi="Cambria" w:cs="Times New Roman"/>
          <w:noProof/>
          <w:lang w:val="en-US"/>
        </w:rPr>
        <w:t>(</w:t>
      </w:r>
      <w:r w:rsidRPr="00BF5210">
        <w:rPr>
          <w:rFonts w:ascii="Cambria" w:hAnsi="Cambria" w:cs="Times New Roman"/>
          <w:noProof/>
        </w:rPr>
        <w:t>2021)</w:t>
      </w:r>
      <w:r w:rsidRPr="00BF5210">
        <w:rPr>
          <w:rFonts w:ascii="Cambria" w:hAnsi="Cambria" w:cs="Times New Roman"/>
        </w:rPr>
        <w:fldChar w:fldCharType="end"/>
      </w:r>
      <w:r w:rsidRPr="00BF5210">
        <w:rPr>
          <w:rFonts w:ascii="Cambria" w:hAnsi="Cambria" w:cs="Times New Roman"/>
          <w:lang w:val="en-US"/>
        </w:rPr>
        <w:t xml:space="preserve"> </w:t>
      </w:r>
      <w:r w:rsidR="009B3DA6" w:rsidRPr="00BF5210">
        <w:rPr>
          <w:rFonts w:ascii="Cambria" w:hAnsi="Cambria" w:cs="Times New Roman"/>
        </w:rPr>
        <w:t xml:space="preserve">explains that third-party funds are funds in the form of demand deposits, savings, and deposits to provide opportunities for obtaining an income with a large nominal amount. </w:t>
      </w:r>
      <w:r w:rsidR="00A73D8B" w:rsidRPr="00BF5210">
        <w:rPr>
          <w:rFonts w:ascii="Cambria" w:hAnsi="Cambria" w:cs="Times New Roman"/>
        </w:rPr>
        <w:fldChar w:fldCharType="begin" w:fldLock="1"/>
      </w:r>
      <w:r w:rsidR="00E96528" w:rsidRPr="00BF5210">
        <w:rPr>
          <w:rFonts w:ascii="Cambria" w:hAnsi="Cambria" w:cs="Times New Roman"/>
        </w:rPr>
        <w:instrText>ADDIN CSL_CITATION {"citationItems":[{"id":"ITEM-1","itemData":{"DOI":"10.1108/IMEFM-12-2018-0440","ISSN":"1753-8394","abstract":"Purpose This study aims to measure the effect of customers’ technology readiness and the quality of electronic services on customer satisfaction. Design/methodology/approach The statistical sample included 410 respondents from 24 branches of a private bank. The sampling method was questionnaire. Because of the structural and organizational similarity of private banks and the elimination of nuisance variables, a bank with the most branches and customers has been selected. To test the model, equation modeling was performed to test the hypotheses. Data were collected through a self-developed structured questionnaire, which served as the measurement tool as well. Findings The results of the study showed that technology readiness has a significant and positive effect on customer satisfaction through the quality of self-service. Moreover, the intermediate role of perceived value in this regard was confirmed; however, the role of trust was not confirmed. Originality/value Previous studies have considered technology readiness as an effective factor in the quality of self-service and customer satisfaction. In this study, apart from quality of service in self-service banking and customer satisfaction, two variables of trust and perceived value have been investigated. An attempt has also been made to address some questions, including “what the effect of customer technology readiness on perceived value of self-services as well as customer satisfaction is?” and “how it is possible to improve self-service quality in modern banking based on customer expectations?” or “what effects variables such as trust and perceived value have on customer satisfaction?” Having a glance at the studies done before, it can be understood that so far, there has been no study done using a mixture of these variables, yet societies’ demands for self-service operations grow day by day. It is, therefore, mandatory to study the prerequisites associated with any actions before one is taken. The paper contributes in the following way: trust and perceived value are added to the the study because of their role in customer satisfaction. In addition, for the first time, variables have been studied, which had never been under focus in any studies in developing countries before.","author":[{"dropping-particle":"","family":"Pooya","given":"Alireza","non-dropping-particle":"","parse-names":false,"suffix":""},{"dropping-particle":"","family":"Abed Khorasani","given":"Mehran","non-dropping-particle":"","parse-names":false,"suffix":""},{"dropping-particle":"","family":"Gholamian Ghouzhdi","given":"Simin","non-dropping-particle":"","parse-names":false,"suffix":""}],"container-title":"International Journal of Islamic and Middle Eastern Finance and Management","id":"ITEM-1","issue":"2","issued":{"date-parts":[["2020","1"]]},"page":"263-280","publisher":"Emerald Publishing Limited","title":"Investigating the effect of perceived quality of self-service banking on customer satisfaction","type":"article-journal","volume":"13"},"uris":["http://www.mendeley.com/documents/?uuid=2398896e-2869-4f69-8803-5aac86ef5644","http://www.mendeley.com/documents/?uuid=4c584f62-8ed0-44bd-8a93-375804af5843"]}],"mendeley":{"formattedCitation":"(Pooya et al., 2020)","manualFormatting":"Pooya et al., (2020)","plainTextFormattedCitation":"(Pooya et al., 2020)","previouslyFormattedCitation":"(Pooya et al., 2020)"},"properties":{"noteIndex":0},"schema":"https://github.com/citation-style-language/schema/raw/master/csl-citation.json"}</w:instrText>
      </w:r>
      <w:r w:rsidR="00A73D8B" w:rsidRPr="00BF5210">
        <w:rPr>
          <w:rFonts w:ascii="Cambria" w:hAnsi="Cambria" w:cs="Times New Roman"/>
        </w:rPr>
        <w:fldChar w:fldCharType="separate"/>
      </w:r>
      <w:r w:rsidR="00A73D8B" w:rsidRPr="00BF5210">
        <w:rPr>
          <w:rFonts w:ascii="Cambria" w:hAnsi="Cambria" w:cs="Times New Roman"/>
          <w:noProof/>
        </w:rPr>
        <w:t xml:space="preserve">Pooya et al., </w:t>
      </w:r>
      <w:r w:rsidR="00A73D8B" w:rsidRPr="00BF5210">
        <w:rPr>
          <w:rFonts w:ascii="Cambria" w:hAnsi="Cambria" w:cs="Times New Roman"/>
          <w:noProof/>
          <w:lang w:val="en-US"/>
        </w:rPr>
        <w:t>(</w:t>
      </w:r>
      <w:r w:rsidR="00A73D8B" w:rsidRPr="00BF5210">
        <w:rPr>
          <w:rFonts w:ascii="Cambria" w:hAnsi="Cambria" w:cs="Times New Roman"/>
          <w:noProof/>
        </w:rPr>
        <w:t>2020)</w:t>
      </w:r>
      <w:r w:rsidR="00A73D8B" w:rsidRPr="00BF5210">
        <w:rPr>
          <w:rFonts w:ascii="Cambria" w:hAnsi="Cambria" w:cs="Times New Roman"/>
        </w:rPr>
        <w:fldChar w:fldCharType="end"/>
      </w:r>
      <w:r w:rsidR="00A73D8B" w:rsidRPr="00BF5210">
        <w:rPr>
          <w:rFonts w:ascii="Cambria" w:hAnsi="Cambria" w:cs="Times New Roman"/>
          <w:lang w:val="en-US"/>
        </w:rPr>
        <w:t xml:space="preserve"> </w:t>
      </w:r>
      <w:r w:rsidR="009B3DA6" w:rsidRPr="00BF5210">
        <w:rPr>
          <w:rFonts w:ascii="Cambria" w:hAnsi="Cambria" w:cs="Times New Roman"/>
        </w:rPr>
        <w:t xml:space="preserve">explain that if enough funds are collected, the customer and the bank will each benefit. This statement is supported by the research of Syachfuddin &amp; Rosyidi (2017), the results of which have the effect of </w:t>
      </w:r>
      <w:r w:rsidR="00A73D8B" w:rsidRPr="00BF5210">
        <w:rPr>
          <w:rFonts w:ascii="Cambria" w:hAnsi="Cambria" w:cs="Times New Roman"/>
        </w:rPr>
        <w:fldChar w:fldCharType="begin" w:fldLock="1"/>
      </w:r>
      <w:r w:rsidR="00E96528" w:rsidRPr="00BF5210">
        <w:rPr>
          <w:rFonts w:ascii="Cambria" w:hAnsi="Cambria" w:cs="Times New Roman"/>
        </w:rPr>
        <w:instrText>ADDIN CSL_CITATION {"citationItems":[{"id":"ITEM-1","itemData":{"abstract":"This study aims to analyze the effect of Capital Adequacy Ratio (CAR), Third Party Fund, Loan to Deposit Ratio (LDR), and Bank Size to Profitability in banking companies listed in Indonesia Stock Exchange by using annual financial reports published in 2016-2018. The population in this study are 44 banks with 18 obtained as samples using purposive sampling method. The results of this study indicate that the Capital Adequacy Ratio, Third Party Fund, Bank Size have a positive and significant effect on profitability. Meanwhile, Loan to Deposit Ratio has a positive and insignificant effect on the Profitability of Banking Companies in the Indonesia Stock Exchange during the 2016–2018 period.","author":[{"dropping-particle":"","family":"Anggari","given":"Ni Luh Shintya","non-dropping-particle":"","parse-names":false,"suffix":""},{"dropping-particle":"","family":"Dana","given":"I Made","non-dropping-particle":"","parse-names":false,"suffix":""}],"container-title":"American Journal of Humanities and Social Sciences Research (AJHSSR)","id":"ITEM-1","issue":"12","issued":{"date-parts":[["2020"]]},"page":"334-338","title":"The Effect of Capital Adequacy Ratio, Third Party Funds, Loan to Deposit Ratio, Bank Size on Profitability in Banking Companies on IDX","type":"article-journal","volume":"4"},"uris":["http://www.mendeley.com/documents/?uuid=063c0950-3d1a-4d34-960e-e103348b3e9c","http://www.mendeley.com/documents/?uuid=32a47ab4-cca6-4567-a9e7-b91f9d4f5b4c"]}],"mendeley":{"formattedCitation":"(Anggari &amp; Dana, 2020)","manualFormatting":"Anggari &amp; Dana (2020)","plainTextFormattedCitation":"(Anggari &amp; Dana, 2020)","previouslyFormattedCitation":"(Anggari &amp; Dana, 2020)"},"properties":{"noteIndex":0},"schema":"https://github.com/citation-style-language/schema/raw/master/csl-citation.json"}</w:instrText>
      </w:r>
      <w:r w:rsidR="00A73D8B" w:rsidRPr="00BF5210">
        <w:rPr>
          <w:rFonts w:ascii="Cambria" w:hAnsi="Cambria" w:cs="Times New Roman"/>
        </w:rPr>
        <w:fldChar w:fldCharType="separate"/>
      </w:r>
      <w:r w:rsidR="00A73D8B" w:rsidRPr="00BF5210">
        <w:rPr>
          <w:rFonts w:ascii="Cambria" w:hAnsi="Cambria" w:cs="Times New Roman"/>
          <w:noProof/>
        </w:rPr>
        <w:t xml:space="preserve">Anggari &amp; Dana </w:t>
      </w:r>
      <w:r w:rsidR="00A73D8B" w:rsidRPr="00BF5210">
        <w:rPr>
          <w:rFonts w:ascii="Cambria" w:hAnsi="Cambria" w:cs="Times New Roman"/>
          <w:noProof/>
          <w:lang w:val="en-US"/>
        </w:rPr>
        <w:t>(</w:t>
      </w:r>
      <w:r w:rsidR="00A73D8B" w:rsidRPr="00BF5210">
        <w:rPr>
          <w:rFonts w:ascii="Cambria" w:hAnsi="Cambria" w:cs="Times New Roman"/>
          <w:noProof/>
        </w:rPr>
        <w:t>2020)</w:t>
      </w:r>
      <w:r w:rsidR="00A73D8B" w:rsidRPr="00BF5210">
        <w:rPr>
          <w:rFonts w:ascii="Cambria" w:hAnsi="Cambria" w:cs="Times New Roman"/>
        </w:rPr>
        <w:fldChar w:fldCharType="end"/>
      </w:r>
      <w:r w:rsidR="009B3DA6" w:rsidRPr="00BF5210">
        <w:rPr>
          <w:rFonts w:ascii="Cambria" w:hAnsi="Cambria" w:cs="Times New Roman"/>
        </w:rPr>
        <w:t>explaining that third-party funds are funds in the form of deposits to be used in obtaining credit. This statement is supported by Sudarsono (2017) research, the results of which are influential.</w:t>
      </w:r>
    </w:p>
    <w:p w14:paraId="55C8291D" w14:textId="6C2A23C4" w:rsidR="009B3DA6" w:rsidRPr="009B3DA6" w:rsidRDefault="009B3DA6" w:rsidP="009B3DA6">
      <w:pPr>
        <w:spacing w:after="80" w:line="300" w:lineRule="exact"/>
        <w:ind w:left="851" w:hanging="425"/>
        <w:jc w:val="both"/>
        <w:rPr>
          <w:rFonts w:ascii="Cambria" w:hAnsi="Cambria" w:cs="Times New Roman"/>
          <w:i/>
          <w:iCs/>
        </w:rPr>
      </w:pPr>
      <w:r w:rsidRPr="009B3DA6">
        <w:rPr>
          <w:rFonts w:ascii="Cambria" w:hAnsi="Cambria" w:cs="Times New Roman"/>
          <w:i/>
          <w:iCs/>
        </w:rPr>
        <w:t>H5: third-party funds moderate the effect e of intellectual capital on ROA</w:t>
      </w:r>
    </w:p>
    <w:p w14:paraId="7ADE15F3" w14:textId="2AAE3B4E" w:rsidR="009B3DA6" w:rsidRPr="009B3DA6" w:rsidRDefault="009B3DA6" w:rsidP="009B3DA6">
      <w:pPr>
        <w:spacing w:after="80" w:line="300" w:lineRule="exact"/>
        <w:ind w:left="851" w:hanging="425"/>
        <w:jc w:val="both"/>
        <w:rPr>
          <w:rFonts w:ascii="Cambria" w:hAnsi="Cambria" w:cs="Times New Roman"/>
          <w:i/>
          <w:iCs/>
        </w:rPr>
      </w:pPr>
      <w:r w:rsidRPr="009B3DA6">
        <w:rPr>
          <w:rFonts w:ascii="Cambria" w:hAnsi="Cambria" w:cs="Times New Roman"/>
          <w:i/>
          <w:iCs/>
        </w:rPr>
        <w:t>H6: third-party funds moderate the effect of intellectual capital on ROE</w:t>
      </w:r>
    </w:p>
    <w:p w14:paraId="34FCF201" w14:textId="77777777" w:rsidR="009B3DA6" w:rsidRPr="009B3DA6" w:rsidRDefault="009B3DA6" w:rsidP="009B3DA6">
      <w:pPr>
        <w:spacing w:after="80" w:line="300" w:lineRule="exact"/>
        <w:ind w:left="851" w:hanging="425"/>
        <w:jc w:val="both"/>
        <w:rPr>
          <w:rFonts w:ascii="Cambria" w:hAnsi="Cambria" w:cs="Times New Roman"/>
          <w:i/>
          <w:iCs/>
        </w:rPr>
      </w:pPr>
      <w:r w:rsidRPr="009B3DA6">
        <w:rPr>
          <w:rFonts w:ascii="Cambria" w:hAnsi="Cambria" w:cs="Times New Roman"/>
          <w:i/>
          <w:iCs/>
        </w:rPr>
        <w:t>H7: third-party funds moderate the effect of zakat performing ratio on ROA</w:t>
      </w:r>
    </w:p>
    <w:p w14:paraId="66DCEB66" w14:textId="77777777" w:rsidR="009B3DA6" w:rsidRPr="009B3DA6" w:rsidRDefault="009B3DA6" w:rsidP="009B3DA6">
      <w:pPr>
        <w:spacing w:after="80" w:line="300" w:lineRule="exact"/>
        <w:ind w:left="851" w:hanging="425"/>
        <w:jc w:val="both"/>
        <w:rPr>
          <w:rFonts w:ascii="Cambria" w:hAnsi="Cambria" w:cs="Times New Roman"/>
          <w:i/>
          <w:iCs/>
        </w:rPr>
      </w:pPr>
      <w:r w:rsidRPr="009B3DA6">
        <w:rPr>
          <w:rFonts w:ascii="Cambria" w:hAnsi="Cambria" w:cs="Times New Roman"/>
          <w:i/>
          <w:iCs/>
        </w:rPr>
        <w:t>H8: third-party funds moderate the effect of zakat performing ratio on ROA</w:t>
      </w:r>
    </w:p>
    <w:p w14:paraId="57FB1B15" w14:textId="14B62500" w:rsidR="009B3DA6" w:rsidRDefault="009B3DA6" w:rsidP="009B3DA6">
      <w:pPr>
        <w:spacing w:after="80" w:line="300" w:lineRule="exact"/>
        <w:ind w:firstLine="426"/>
        <w:jc w:val="both"/>
        <w:rPr>
          <w:rFonts w:ascii="Cambria" w:hAnsi="Cambria" w:cs="Times New Roman"/>
        </w:rPr>
      </w:pPr>
      <w:r w:rsidRPr="009B3DA6">
        <w:rPr>
          <w:rFonts w:ascii="Cambria" w:hAnsi="Cambria" w:cs="Times New Roman"/>
        </w:rPr>
        <w:t xml:space="preserve">The research framework for third-party funds moderating the effect of intellectual capital and </w:t>
      </w:r>
      <w:r>
        <w:rPr>
          <w:rFonts w:ascii="Cambria" w:hAnsi="Cambria" w:cs="Times New Roman"/>
        </w:rPr>
        <w:t>Z</w:t>
      </w:r>
      <w:r w:rsidRPr="009B3DA6">
        <w:rPr>
          <w:rFonts w:ascii="Cambria" w:hAnsi="Cambria" w:cs="Times New Roman"/>
        </w:rPr>
        <w:t>akat performing ratio on firm performance, where firm performance is measured in ROA and ROE, is as follows:</w:t>
      </w:r>
    </w:p>
    <w:p w14:paraId="6FF03472" w14:textId="77777777" w:rsidR="009B3DA6" w:rsidRDefault="009B3DA6" w:rsidP="00A73D8B">
      <w:pPr>
        <w:spacing w:after="80" w:line="300" w:lineRule="exact"/>
        <w:jc w:val="both"/>
        <w:rPr>
          <w:rFonts w:ascii="Times New Roman" w:hAnsi="Times New Roman" w:cs="Times New Roman"/>
          <w:noProof/>
          <w:sz w:val="24"/>
        </w:rPr>
      </w:pPr>
    </w:p>
    <w:p w14:paraId="317B88F0" w14:textId="0C9BF691" w:rsidR="00A144CA" w:rsidRDefault="00A144CA" w:rsidP="00A144CA">
      <w:pPr>
        <w:spacing w:after="80" w:line="300" w:lineRule="exact"/>
        <w:jc w:val="both"/>
        <w:rPr>
          <w:rFonts w:ascii="Times New Roman" w:hAnsi="Times New Roman" w:cs="Times New Roman"/>
          <w:noProof/>
          <w:sz w:val="24"/>
        </w:rPr>
      </w:pPr>
      <w:r>
        <w:rPr>
          <w:rFonts w:ascii="Times New Roman" w:hAnsi="Times New Roman" w:cs="Times New Roman"/>
          <w:noProof/>
          <w:sz w:val="24"/>
        </w:rPr>
        <mc:AlternateContent>
          <mc:Choice Requires="wps">
            <w:drawing>
              <wp:anchor distT="0" distB="0" distL="114300" distR="114300" simplePos="0" relativeHeight="251673600" behindDoc="0" locked="0" layoutInCell="1" allowOverlap="1" wp14:anchorId="564ED225" wp14:editId="6A3E2C87">
                <wp:simplePos x="0" y="0"/>
                <wp:positionH relativeFrom="column">
                  <wp:posOffset>1928495</wp:posOffset>
                </wp:positionH>
                <wp:positionV relativeFrom="paragraph">
                  <wp:posOffset>187325</wp:posOffset>
                </wp:positionV>
                <wp:extent cx="285750" cy="1343025"/>
                <wp:effectExtent l="57150" t="38100" r="19050" b="28575"/>
                <wp:wrapNone/>
                <wp:docPr id="21" name="Straight Arrow Connector 21"/>
                <wp:cNvGraphicFramePr/>
                <a:graphic xmlns:a="http://schemas.openxmlformats.org/drawingml/2006/main">
                  <a:graphicData uri="http://schemas.microsoft.com/office/word/2010/wordprocessingShape">
                    <wps:wsp>
                      <wps:cNvCnPr/>
                      <wps:spPr>
                        <a:xfrm flipH="1" flipV="1">
                          <a:off x="0" y="0"/>
                          <a:ext cx="285750" cy="1343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A30E4A8" id="_x0000_t32" coordsize="21600,21600" o:spt="32" o:oned="t" path="m,l21600,21600e" filled="f">
                <v:path arrowok="t" fillok="f" o:connecttype="none"/>
                <o:lock v:ext="edit" shapetype="t"/>
              </v:shapetype>
              <v:shape id="Straight Arrow Connector 21" o:spid="_x0000_s1026" type="#_x0000_t32" style="position:absolute;margin-left:151.85pt;margin-top:14.75pt;width:22.5pt;height:105.75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VryAEAANgDAAAOAAAAZHJzL2Uyb0RvYy54bWysU8mO2zAMvRfoPwi6N3YyTTsw4swh0+VQ&#10;tIPpctfIki1UGyg2dv6+lJx4ii5AUfRC0CLfIx9J724mZ9lRQTLBt3y9qjlTXobO+L7lnz+9fnbN&#10;WULhO2GDVy0/qcRv9k+f7MbYqE0Ygu0UMCLxqRljywfE2FRVkoNyIq1CVJ6COoATSJ/QVx2Ikdid&#10;rTZ1/aIaA3QRglQp0evtHOT7wq+1kvhB66SQ2ZZTb1gsFPuQbbXfiaYHEQcjz22If+jCCeOp6EJ1&#10;K1Cwb2B+oXJGQkhB40oGVwWtjVRFA6lZ1z+p+TiIqIoWGk6Ky5jS/6OV748Hfwc0hjGmJsU7yCom&#10;DY5pa+Jb2ikv3pfs5Rj1zKYywNMyQDUhk/S4ud6+3NKYJYXWV8+v6s02T7iaGTM6QsI3KjiWnZYn&#10;BGH6AQ/Be9pVgLmGOL5LOAMvgAy2PlsUxr7yHcNTpINCMML3Vp3r5JTqUUrx8GTVDL9XmpmOGp3L&#10;lCtTBwvsKOg+uq/rhYUyM0QbaxdQXfT/EXTOzTBVLu9vgUt2qRg8LkBnfIDfVcXp0qqe8y+qZ61Z&#10;9kPoTmWxZRx0PmUP51PP9/njd4E//pD77wAAAP//AwBQSwMEFAAGAAgAAAAhAL9OExfdAAAACgEA&#10;AA8AAABkcnMvZG93bnJldi54bWxMj8tOwzAQRfdI/QdrKrGjdpsCbYhTAaI7Nk35ADeePNR4HMVO&#10;E/6eYQXLuXN050x2mF0nbjiE1pOG9UqBQCq9banW8HU+PuxAhGjIms4TavjGAId8cZeZ1PqJTngr&#10;Yi24hEJqNDQx9qmUoWzQmbDyPRLvKj84E3kcamkHM3G56+RGqSfpTEt8oTE9vjdYXovRaZDhPJ6S&#10;ebqWFU6fVfFhj2/1Xuv75fz6AiLiHP9g+NVndcjZ6eJHskF0GhKVPDOqYbN/BMFAst1xcOFgu1Yg&#10;80z+fyH/AQAA//8DAFBLAQItABQABgAIAAAAIQC2gziS/gAAAOEBAAATAAAAAAAAAAAAAAAAAAAA&#10;AABbQ29udGVudF9UeXBlc10ueG1sUEsBAi0AFAAGAAgAAAAhADj9If/WAAAAlAEAAAsAAAAAAAAA&#10;AAAAAAAALwEAAF9yZWxzLy5yZWxzUEsBAi0AFAAGAAgAAAAhAGeVhWvIAQAA2AMAAA4AAAAAAAAA&#10;AAAAAAAALgIAAGRycy9lMm9Eb2MueG1sUEsBAi0AFAAGAAgAAAAhAL9OExfdAAAACgEAAA8AAAAA&#10;AAAAAAAAAAAAIgQAAGRycy9kb3ducmV2LnhtbFBLBQYAAAAABAAEAPMAAAAsBQAAAAA=&#10;" strokecolor="black [3200]" strokeweight=".5pt">
                <v:stroke endarrow="block" joinstyle="miter"/>
              </v:shape>
            </w:pict>
          </mc:Fallback>
        </mc:AlternateContent>
      </w:r>
      <w:r>
        <w:rPr>
          <w:rFonts w:ascii="Times New Roman" w:hAnsi="Times New Roman" w:cs="Times New Roman"/>
          <w:noProof/>
          <w:sz w:val="24"/>
        </w:rPr>
        <mc:AlternateContent>
          <mc:Choice Requires="wps">
            <w:drawing>
              <wp:anchor distT="0" distB="0" distL="114300" distR="114300" simplePos="0" relativeHeight="251669504" behindDoc="0" locked="0" layoutInCell="1" allowOverlap="1" wp14:anchorId="0D7BF4DC" wp14:editId="018F59D4">
                <wp:simplePos x="0" y="0"/>
                <wp:positionH relativeFrom="column">
                  <wp:posOffset>1623695</wp:posOffset>
                </wp:positionH>
                <wp:positionV relativeFrom="paragraph">
                  <wp:posOffset>187325</wp:posOffset>
                </wp:positionV>
                <wp:extent cx="1219200" cy="742950"/>
                <wp:effectExtent l="0" t="38100" r="57150" b="19050"/>
                <wp:wrapNone/>
                <wp:docPr id="18" name="Straight Arrow Connector 18"/>
                <wp:cNvGraphicFramePr/>
                <a:graphic xmlns:a="http://schemas.openxmlformats.org/drawingml/2006/main">
                  <a:graphicData uri="http://schemas.microsoft.com/office/word/2010/wordprocessingShape">
                    <wps:wsp>
                      <wps:cNvCnPr/>
                      <wps:spPr>
                        <a:xfrm flipV="1">
                          <a:off x="0" y="0"/>
                          <a:ext cx="1219200"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428C59" id="Straight Arrow Connector 18" o:spid="_x0000_s1026" type="#_x0000_t32" style="position:absolute;margin-left:127.85pt;margin-top:14.75pt;width:96pt;height:58.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4qDwgEAAM4DAAAOAAAAZHJzL2Uyb0RvYy54bWysU8uO1DAQvCPxD5bvTJIRr40ms4dZ4IJg&#10;xWPvXsdOLPxSu5lJ/p62M5NFsEIIcWk5dld1V3Vndz05y44Kkgm+482m5kx5GXrjh45//fL22WvO&#10;EgrfCxu86visEr/eP32yO8VWbcMYbK+AEYlP7Sl2fESMbVUlOSon0iZE5elRB3AC6ROGqgdxInZn&#10;q21dv6xOAfoIQaqU6PZmeeT7wq+1kvhR66SQ2Y5Tb1gilHifY7XfiXYAEUcjz22If+jCCeOp6Ep1&#10;I1Cw72B+o3JGQkhB40YGVwWtjVRFA6lp6l/UfB5FVEULmZPialP6f7Tyw/Hgb4FsOMXUpngLWcWk&#10;wTFtTbyjmRZd1Cmbim3zapuakEm6bLbNFc2CM0lvr55vr14UX6uFJ/NFSPhOBcfyoeMJQZhhxEPw&#10;niYUYKkhju8TUicEvAAy2PocURj7xvcM50hrhGCEH6zK86P0nFI9CCgnnK1a4J+UZqbPjRYpZbfU&#10;wQI7CtqK/luzslBmhmhj7Qqq/ww652aYKvv2t8A1u1QMHlegMz7AY1VxurSql/yL6kVrln0f+rmM&#10;s9hBS1P8OS943sqfvwv84Tfc/wAAAP//AwBQSwMEFAAGAAgAAAAhABxVfUPfAAAACgEAAA8AAABk&#10;cnMvZG93bnJldi54bWxMj01PwzAMhu9I/IfISNxYuildoTSdEBIXQDAGl92yxmsrGqdKsq3w6zEn&#10;uPnj0evH1WpygzhiiL0nDfNZBgKp8banVsPH+8PVNYiYDFkzeEINXxhhVZ+fVaa0/kRveNykVnAI&#10;xdJo6FIaSylj06EzceZHJN7tfXAmcRtaaYM5cbgb5CLLltKZnvhCZ0a877D53Bychud5eH0sti97&#10;FdvwvaUntY5rr/XlxXR3CyLhlP5g+NVndajZaecPZKMYNCzyvGCUi5scBANKFTzYMamWOci6kv9f&#10;qH8AAAD//wMAUEsBAi0AFAAGAAgAAAAhALaDOJL+AAAA4QEAABMAAAAAAAAAAAAAAAAAAAAAAFtD&#10;b250ZW50X1R5cGVzXS54bWxQSwECLQAUAAYACAAAACEAOP0h/9YAAACUAQAACwAAAAAAAAAAAAAA&#10;AAAvAQAAX3JlbHMvLnJlbHNQSwECLQAUAAYACAAAACEAo7OKg8IBAADOAwAADgAAAAAAAAAAAAAA&#10;AAAuAgAAZHJzL2Uyb0RvYy54bWxQSwECLQAUAAYACAAAACEAHFV9Q98AAAAKAQAADwAAAAAAAAAA&#10;AAAAAAAcBAAAZHJzL2Rvd25yZXYueG1sUEsFBgAAAAAEAAQA8wAAACgFAAAAAA==&#10;" strokecolor="black [3200]" strokeweight=".5pt">
                <v:stroke endarrow="block" joinstyle="miter"/>
              </v:shape>
            </w:pict>
          </mc:Fallback>
        </mc:AlternateContent>
      </w:r>
      <w:r>
        <w:rPr>
          <w:rFonts w:ascii="Times New Roman" w:hAnsi="Times New Roman" w:cs="Times New Roman"/>
          <w:noProof/>
          <w:sz w:val="24"/>
        </w:rPr>
        <mc:AlternateContent>
          <mc:Choice Requires="wps">
            <w:drawing>
              <wp:anchor distT="0" distB="0" distL="114300" distR="114300" simplePos="0" relativeHeight="251668480" behindDoc="0" locked="0" layoutInCell="1" allowOverlap="1" wp14:anchorId="37A36932" wp14:editId="2E055F9D">
                <wp:simplePos x="0" y="0"/>
                <wp:positionH relativeFrom="column">
                  <wp:posOffset>1623695</wp:posOffset>
                </wp:positionH>
                <wp:positionV relativeFrom="paragraph">
                  <wp:posOffset>187325</wp:posOffset>
                </wp:positionV>
                <wp:extent cx="1219200" cy="742950"/>
                <wp:effectExtent l="0" t="0" r="76200" b="57150"/>
                <wp:wrapNone/>
                <wp:docPr id="17" name="Straight Arrow Connector 17"/>
                <wp:cNvGraphicFramePr/>
                <a:graphic xmlns:a="http://schemas.openxmlformats.org/drawingml/2006/main">
                  <a:graphicData uri="http://schemas.microsoft.com/office/word/2010/wordprocessingShape">
                    <wps:wsp>
                      <wps:cNvCnPr/>
                      <wps:spPr>
                        <a:xfrm>
                          <a:off x="0" y="0"/>
                          <a:ext cx="1219200"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E28C7C" id="Straight Arrow Connector 17" o:spid="_x0000_s1026" type="#_x0000_t32" style="position:absolute;margin-left:127.85pt;margin-top:14.75pt;width:96pt;height:58.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vvuwEAAMQDAAAOAAAAZHJzL2Uyb0RvYy54bWysU9uO1DAMfUfiH6K8M21H3Laazj7MAi8I&#10;Vix8QDZ12ojclJhp+/c4mZkOAoQQ4sVNYh/b59jd3c7WsCPEpL3reLOpOQMnfa/d0PEvn98+e81Z&#10;QuF6YbyDji+Q+O3+6ZPdFFrY+tGbHiKjJC61U+j4iBjaqkpyBCvSxgdw5FQ+WoF0jUPVRzFRdmuq&#10;bV2/rCYf+xC9hJTo9e7k5PuSXymQ+FGpBMhMx6k3LDYW+5httd+JdogijFqe2xD/0IUV2lHRNdWd&#10;QMG+Rf1LKqtl9Mkr3EhvK6+UllA4EJum/onNwygCFC4kTgqrTOn/pZUfjgd3H0mGKaQ2hfuYWcwq&#10;2vyl/thcxFpWsWBGJumx2TY3NAHOJPlePd/evChqVld0iAnfgbcsHzqeMAo9jHjwztFcfGyKYuL4&#10;PiHVJ+AFkEsbly0Kbd64nuESaHkwauEGA3lqFJ5Dqmvb5YSLgRP8Eyim+9xoKVM2Cg4msqOgXei/&#10;NmsWiswQpY1ZQfWfQefYDIOyZX8LXKNLRe9wBVrtfPxdVZwvrapT/IX1iWum/ej7pQyxyEGrUvQ5&#10;r3XexR/vBX79+fbfAQAA//8DAFBLAwQUAAYACAAAACEAaOSs098AAAAKAQAADwAAAGRycy9kb3du&#10;cmV2LnhtbEyPy07DMBBF90j8gzVI7KhDlTRtiFOhqiwrRFMhlm7sxBH2OIqdNvw9w4ru5nF050y5&#10;nZ1lFz2G3qOA50UCTGPjVY+dgFP99rQGFqJEJa1HLeBHB9hW93elLJS/4oe+HGPHKARDIQWYGIeC&#10;89AY7WRY+EEj7Vo/OhmpHTuuRnmlcGf5MklW3Mke6YKRg94Z3XwfJyegrbtT87Vf88m273n9aTbm&#10;UB+EeHyYX1+ART3Hfxj+9EkdKnI6+wlVYFbAMstyQqnYZMAISNOcBmci01UGvCr57QvVLwAAAP//&#10;AwBQSwECLQAUAAYACAAAACEAtoM4kv4AAADhAQAAEwAAAAAAAAAAAAAAAAAAAAAAW0NvbnRlbnRf&#10;VHlwZXNdLnhtbFBLAQItABQABgAIAAAAIQA4/SH/1gAAAJQBAAALAAAAAAAAAAAAAAAAAC8BAABf&#10;cmVscy8ucmVsc1BLAQItABQABgAIAAAAIQCiqgvvuwEAAMQDAAAOAAAAAAAAAAAAAAAAAC4CAABk&#10;cnMvZTJvRG9jLnhtbFBLAQItABQABgAIAAAAIQBo5KzT3wAAAAoBAAAPAAAAAAAAAAAAAAAAABUE&#10;AABkcnMvZG93bnJldi54bWxQSwUGAAAAAAQABADzAAAAIQUAAAAA&#10;" strokecolor="black [3200]" strokeweight=".5pt">
                <v:stroke endarrow="block" joinstyle="miter"/>
              </v:shape>
            </w:pict>
          </mc:Fallback>
        </mc:AlternateContent>
      </w:r>
      <w:r>
        <w:rPr>
          <w:rFonts w:ascii="Times New Roman" w:hAnsi="Times New Roman" w:cs="Times New Roman"/>
          <w:noProof/>
          <w:sz w:val="24"/>
        </w:rPr>
        <mc:AlternateContent>
          <mc:Choice Requires="wps">
            <w:drawing>
              <wp:anchor distT="0" distB="0" distL="114300" distR="114300" simplePos="0" relativeHeight="251667456" behindDoc="0" locked="0" layoutInCell="1" allowOverlap="1" wp14:anchorId="7EA42088" wp14:editId="0A4B32A7">
                <wp:simplePos x="0" y="0"/>
                <wp:positionH relativeFrom="column">
                  <wp:posOffset>1623695</wp:posOffset>
                </wp:positionH>
                <wp:positionV relativeFrom="paragraph">
                  <wp:posOffset>187325</wp:posOffset>
                </wp:positionV>
                <wp:extent cx="1219200" cy="0"/>
                <wp:effectExtent l="0" t="76200" r="19050" b="95250"/>
                <wp:wrapNone/>
                <wp:docPr id="16" name="Straight Arrow Connector 16"/>
                <wp:cNvGraphicFramePr/>
                <a:graphic xmlns:a="http://schemas.openxmlformats.org/drawingml/2006/main">
                  <a:graphicData uri="http://schemas.microsoft.com/office/word/2010/wordprocessingShape">
                    <wps:wsp>
                      <wps:cNvCnPr/>
                      <wps:spPr>
                        <a:xfrm>
                          <a:off x="0" y="0"/>
                          <a:ext cx="1219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4D54FE" id="Straight Arrow Connector 16" o:spid="_x0000_s1026" type="#_x0000_t32" style="position:absolute;margin-left:127.85pt;margin-top:14.75pt;width:96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y3tAEAAL8DAAAOAAAAZHJzL2Uyb0RvYy54bWysU02P1DAMvSPxH6LcmU7ngKCazh5mgQuC&#10;FR8/IJs6bUSaRI6Ztv8eJzPTQQtCCHFxk9jP9nt293fz6MQJMNngW1lvtlKA16Gzvm/l1y9vX7yS&#10;IpHynXLBQysXSPLu8PzZfooN7MIQXAcoOIlPzRRbORDFpqqSHmBUaRMieHaagKMivmJfdagmzj66&#10;arfdvqymgF3EoCElfr0/O+Wh5DcGNH00JgEJ10rujYrFYh+zrQ571fSo4mD1pQ31D12Mynouuqa6&#10;V6TEd7S/pBqtxpCCoY0OYxWMsRoKB2ZTb5+w+TyoCIULi5PiKlP6f2n1h9PRPyDLMMXUpPiAmcVs&#10;cMxf7k/MRaxlFQtmEpof6139micghb76qhswYqJ3EEaRD61MhMr2Ax2D9zySgHURS53eJ+LSDLwC&#10;clXnsyVl3RvfCVoi7w2hVb53kAfG4TmkunVcTrQ4OMM/gRG2yz2WMmWZ4OhQnBSvQfetXrNwZIYY&#10;69wK2v4ZdInNMCgL9rfANbpUDJ5W4Gh9wN9VpfnaqjnHX1mfuWbaj6FbyvyKHLwlRZ/LRuc1/Ple&#10;4Lf/7vADAAD//wMAUEsDBBQABgAIAAAAIQCwBUYY3QAAAAkBAAAPAAAAZHJzL2Rvd25yZXYueG1s&#10;TI9BT8MwDIXvSPyHyEjcWMq00q00nRCC44RYJ8Qxa9ymonGqJt3Kv8eIw7jZ7z09fy62s+vFCcfQ&#10;eVJwv0hAINXedNQqOFSvd2sQIWoyuveECr4xwLa8vip0bvyZ3vG0j63gEgq5VmBjHHIpQ23R6bDw&#10;AxJ7jR+djryOrTSjPnO56+UySR6k0x3xBasHfLZYf+0np6Cp2kP9+bKWU9+8ZdWH3dhdtVPq9mZ+&#10;egQRcY6XMPziMzqUzHT0E5kgegXLNM04ysMmBcGB1Spj4fgnyLKQ/z8ofwAAAP//AwBQSwECLQAU&#10;AAYACAAAACEAtoM4kv4AAADhAQAAEwAAAAAAAAAAAAAAAAAAAAAAW0NvbnRlbnRfVHlwZXNdLnht&#10;bFBLAQItABQABgAIAAAAIQA4/SH/1gAAAJQBAAALAAAAAAAAAAAAAAAAAC8BAABfcmVscy8ucmVs&#10;c1BLAQItABQABgAIAAAAIQD1sPy3tAEAAL8DAAAOAAAAAAAAAAAAAAAAAC4CAABkcnMvZTJvRG9j&#10;LnhtbFBLAQItABQABgAIAAAAIQCwBUYY3QAAAAkBAAAPAAAAAAAAAAAAAAAAAA4EAABkcnMvZG93&#10;bnJldi54bWxQSwUGAAAAAAQABADzAAAAGAUAAAAA&#10;" strokecolor="black [3200]" strokeweight=".5pt">
                <v:stroke endarrow="block" joinstyle="miter"/>
              </v:shape>
            </w:pict>
          </mc:Fallback>
        </mc:AlternateContent>
      </w: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3717F01D" wp14:editId="4E00154C">
                <wp:simplePos x="0" y="0"/>
                <wp:positionH relativeFrom="column">
                  <wp:posOffset>80645</wp:posOffset>
                </wp:positionH>
                <wp:positionV relativeFrom="paragraph">
                  <wp:posOffset>6350</wp:posOffset>
                </wp:positionV>
                <wp:extent cx="1543050" cy="3619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543050" cy="361950"/>
                        </a:xfrm>
                        <a:prstGeom prst="rect">
                          <a:avLst/>
                        </a:prstGeom>
                        <a:solidFill>
                          <a:schemeClr val="lt1"/>
                        </a:solidFill>
                        <a:ln w="6350">
                          <a:solidFill>
                            <a:prstClr val="black"/>
                          </a:solidFill>
                        </a:ln>
                      </wps:spPr>
                      <wps:txbx>
                        <w:txbxContent>
                          <w:p w14:paraId="74E22B72" w14:textId="6CF3C0F0" w:rsidR="00A144CA" w:rsidRPr="00A144CA" w:rsidRDefault="00A144CA" w:rsidP="00A144CA">
                            <w:pPr>
                              <w:jc w:val="center"/>
                              <w:rPr>
                                <w:rFonts w:ascii="Cambria" w:hAnsi="Cambria"/>
                                <w:lang w:val="en-US"/>
                              </w:rPr>
                            </w:pPr>
                            <w:r w:rsidRPr="00A144CA">
                              <w:rPr>
                                <w:rFonts w:ascii="Cambria" w:hAnsi="Cambria"/>
                                <w:lang w:val="en-US"/>
                              </w:rPr>
                              <w:t>Intell</w:t>
                            </w:r>
                            <w:r>
                              <w:rPr>
                                <w:rFonts w:ascii="Cambria" w:hAnsi="Cambria"/>
                                <w:lang w:val="en-US"/>
                              </w:rPr>
                              <w:t>e</w:t>
                            </w:r>
                            <w:r w:rsidRPr="00A144CA">
                              <w:rPr>
                                <w:rFonts w:ascii="Cambria" w:hAnsi="Cambria"/>
                                <w:lang w:val="en-US"/>
                              </w:rPr>
                              <w:t>ctual Capital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17F01D" id="Text Box 12" o:spid="_x0000_s1027" type="#_x0000_t202" style="position:absolute;left:0;text-align:left;margin-left:6.35pt;margin-top:.5pt;width:121.5pt;height:2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lUNgIAAIMEAAAOAAAAZHJzL2Uyb0RvYy54bWysVEtv2zAMvg/YfxB0X5z3WiNOkaXIMKBo&#10;C6RDz4osJcJkUZOU2NmvHyU7j7U7DbvIpEh9JD+Snt01lSYH4bwCU9BBr0+JMBxKZbYF/f6y+nRD&#10;iQ/MlEyDEQU9Ck/v5h8/zGqbiyHsQJfCEQQxPq9tQXch2DzLPN+JivkeWGHQKMFVLKDqtlnpWI3o&#10;lc6G/f40q8GV1gEX3uPtfWuk84QvpeDhSUovAtEFxdxCOl06N/HM5jOWbx2zO8W7NNg/ZFExZTDo&#10;GeqeBUb2Tr2DqhR34EGGHocqAykVF6kGrGbQf1PNesesSLUgOd6eafL/D5Y/Htb22ZHQfIEGGxgJ&#10;qa3PPV7GehrpqvjFTAnakcLjmTbRBMLjo8l41J+giaNtNB3cooww2eW1dT58FVCRKBTUYVsSW+zw&#10;4EPrenKJwTxoVa6U1kmJoyCW2pEDwybqkHJE8D+8tCF1QacjDP0OIUKf32804z+69K4QEE8bzPlS&#10;e5RCs2mIKq942UB5RLoctJPkLV8phH9gPjwzh6ODNOA6hCc8pAbMCTqJkh24X3+7j/7YUbRSUuMo&#10;FtT/3DMnKNHfDPb6djAex9lNynjyeYiKu7Zsri1mXy0BiRrg4lmexOgf9EmUDqpX3JpFjIomZjjG&#10;Lmg4icvQLghuHReLRXLCabUsPJi15RE6chxpfWlembNdWwMOxCOchpblb7rb+saXBhb7AFKl1kee&#10;W1Y7+nHS0/B0WxlX6VpPXpd/x/w3AAAA//8DAFBLAwQUAAYACAAAACEA/RBSLtkAAAAHAQAADwAA&#10;AGRycy9kb3ducmV2LnhtbEyPwU7DMBBE70j8g7VI3KhDpEBI41SAChdOFMR5G7t21Hgd2W4a/p7l&#10;BKfVaEazb9rN4kcxm5iGQApuVwUIQ33QA1kFnx8vNzWIlJE0joGMgm+TYNNdXrTY6HCmdzPvshVc&#10;QqlBBS7nqZEy9c54TKswGWLvEKLHzDJaqSOeudyPsiyKO+lxIP7gcDLPzvTH3ckr2D7ZB9vXGN22&#10;1sMwL1+HN/uq1PXV8rgGkc2S/8Lwi8/o0DHTPpxIJzGyLu85yZcXsV1WFeu9gqouQHat/M/f/QAA&#10;AP//AwBQSwECLQAUAAYACAAAACEAtoM4kv4AAADhAQAAEwAAAAAAAAAAAAAAAAAAAAAAW0NvbnRl&#10;bnRfVHlwZXNdLnhtbFBLAQItABQABgAIAAAAIQA4/SH/1gAAAJQBAAALAAAAAAAAAAAAAAAAAC8B&#10;AABfcmVscy8ucmVsc1BLAQItABQABgAIAAAAIQCfUZlUNgIAAIMEAAAOAAAAAAAAAAAAAAAAAC4C&#10;AABkcnMvZTJvRG9jLnhtbFBLAQItABQABgAIAAAAIQD9EFIu2QAAAAcBAAAPAAAAAAAAAAAAAAAA&#10;AJAEAABkcnMvZG93bnJldi54bWxQSwUGAAAAAAQABADzAAAAlgUAAAAA&#10;" fillcolor="white [3201]" strokeweight=".5pt">
                <v:textbox>
                  <w:txbxContent>
                    <w:p w14:paraId="74E22B72" w14:textId="6CF3C0F0" w:rsidR="00A144CA" w:rsidRPr="00A144CA" w:rsidRDefault="00A144CA" w:rsidP="00A144CA">
                      <w:pPr>
                        <w:jc w:val="center"/>
                        <w:rPr>
                          <w:rFonts w:ascii="Cambria" w:hAnsi="Cambria"/>
                          <w:lang w:val="en-US"/>
                        </w:rPr>
                      </w:pPr>
                      <w:r w:rsidRPr="00A144CA">
                        <w:rPr>
                          <w:rFonts w:ascii="Cambria" w:hAnsi="Cambria"/>
                          <w:lang w:val="en-US"/>
                        </w:rPr>
                        <w:t>Intell</w:t>
                      </w:r>
                      <w:r>
                        <w:rPr>
                          <w:rFonts w:ascii="Cambria" w:hAnsi="Cambria"/>
                          <w:lang w:val="en-US"/>
                        </w:rPr>
                        <w:t>e</w:t>
                      </w:r>
                      <w:r w:rsidRPr="00A144CA">
                        <w:rPr>
                          <w:rFonts w:ascii="Cambria" w:hAnsi="Cambria"/>
                          <w:lang w:val="en-US"/>
                        </w:rPr>
                        <w:t>ctual Capital</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6FA21270" wp14:editId="08770432">
                <wp:simplePos x="0" y="0"/>
                <wp:positionH relativeFrom="column">
                  <wp:posOffset>2838450</wp:posOffset>
                </wp:positionH>
                <wp:positionV relativeFrom="paragraph">
                  <wp:posOffset>8890</wp:posOffset>
                </wp:positionV>
                <wp:extent cx="1457325" cy="3619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1457325" cy="361950"/>
                        </a:xfrm>
                        <a:prstGeom prst="rect">
                          <a:avLst/>
                        </a:prstGeom>
                        <a:solidFill>
                          <a:schemeClr val="lt1"/>
                        </a:solidFill>
                        <a:ln w="6350">
                          <a:solidFill>
                            <a:prstClr val="black"/>
                          </a:solidFill>
                        </a:ln>
                      </wps:spPr>
                      <wps:txbx>
                        <w:txbxContent>
                          <w:p w14:paraId="0CD9C749" w14:textId="309A812A" w:rsidR="00A144CA" w:rsidRPr="00A144CA" w:rsidRDefault="00A144CA" w:rsidP="00A144CA">
                            <w:pPr>
                              <w:jc w:val="center"/>
                              <w:rPr>
                                <w:rFonts w:ascii="Cambria" w:hAnsi="Cambria"/>
                                <w:lang w:val="en-US"/>
                              </w:rPr>
                            </w:pPr>
                            <w:r>
                              <w:rPr>
                                <w:rFonts w:ascii="Cambria" w:hAnsi="Cambria"/>
                                <w:lang w:val="en-US"/>
                              </w:rPr>
                              <w:t>ROA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A21270" id="Text Box 14" o:spid="_x0000_s1028" type="#_x0000_t202" style="position:absolute;left:0;text-align:left;margin-left:223.5pt;margin-top:.7pt;width:114.75pt;height:2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WOUOAIAAIMEAAAOAAAAZHJzL2Uyb0RvYy54bWysVEtv2zAMvg/YfxB0X5z3ViNOkaXIMCBo&#10;C6RDz4osxUJlUZOU2NmvH6U82+409CKTIvWR/Eh6ctvWmuyE8wpMQXudLiXCcCiV2RT019PiyzdK&#10;fGCmZBqMKOheeHo7/fxp0thc9KECXQpHEMT4vLEFrUKweZZ5Xoma+Q5YYdAowdUsoOo2WelYg+i1&#10;zvrd7jhrwJXWARfe4+3dwUinCV9KwcODlF4EoguKuYV0unSu45lNJyzfOGYrxY9psP/IombKYNAz&#10;1B0LjGydegdVK+7AgwwdDnUGUiouUg1YTa/7pppVxaxItSA53p5p8h8Hy+93K/voSGi/Q4sNjIQ0&#10;1uceL2M9rXR1/GKmBO1I4f5Mm2gD4fHRcPR10B9RwtE2GPduRonX7PLaOh9+CKhJFArqsC2JLbZb&#10;+oAR0fXkEoN50KpcKK2TEkdBzLUjO4ZN1CHliC9eeWlDmoKOBxj6HUKEPr9fa8ZfYpWvEVDTBi8v&#10;tUcptOuWqLKg/RMvayj3SJeDwyR5yxcK4ZfMh0fmcHSQIVyH8ICH1IA5wVGipAL351/30R87ilZK&#10;GhzFgvrfW+YEJfqnwV7f9IbDOLtJQa77qLhry/raYrb1HJCoHi6e5UmM/kGfROmgfsatmcWoaGKG&#10;Y+yChpM4D4cFwa3jYjZLTjitloWlWVkeoSPHkdan9pk5e2xrwIG4h9PQsvxNdw++8aWB2TaAVKn1&#10;kecDq0f6cdJTd45bGVfpWk9el3/H9C8AAAD//wMAUEsDBBQABgAIAAAAIQAjRiCB3AAAAAgBAAAP&#10;AAAAZHJzL2Rvd25yZXYueG1sTI/BTsMwEETvSPyDtUjcqANK0zSNUwEqXDhREGc33toWsR3Zbhr+&#10;nuVEj6u3mnnTbmc3sAljssELuF8UwND3QVmvBXx+vNzVwFKWXskheBTwgwm23fVVKxsVzv4dp33W&#10;jEJ8aqQAk/PYcJ56g06mRRjREzuG6GSmM2quojxTuBv4Q1FU3EnrqcHIEZ8N9t/7kxOwe9Jr3dcy&#10;ml2trJ3mr+ObfhXi9mZ+3ADLOOf/Z/jTJ3XoyOkQTl4lNggoyxVtyQRKYMSrVbUEdhCwrEvgXcsv&#10;B3S/AAAA//8DAFBLAQItABQABgAIAAAAIQC2gziS/gAAAOEBAAATAAAAAAAAAAAAAAAAAAAAAABb&#10;Q29udGVudF9UeXBlc10ueG1sUEsBAi0AFAAGAAgAAAAhADj9If/WAAAAlAEAAAsAAAAAAAAAAAAA&#10;AAAALwEAAF9yZWxzLy5yZWxzUEsBAi0AFAAGAAgAAAAhANJFY5Q4AgAAgwQAAA4AAAAAAAAAAAAA&#10;AAAALgIAAGRycy9lMm9Eb2MueG1sUEsBAi0AFAAGAAgAAAAhACNGIIHcAAAACAEAAA8AAAAAAAAA&#10;AAAAAAAAkgQAAGRycy9kb3ducmV2LnhtbFBLBQYAAAAABAAEAPMAAACbBQAAAAA=&#10;" fillcolor="white [3201]" strokeweight=".5pt">
                <v:textbox>
                  <w:txbxContent>
                    <w:p w14:paraId="0CD9C749" w14:textId="309A812A" w:rsidR="00A144CA" w:rsidRPr="00A144CA" w:rsidRDefault="00A144CA" w:rsidP="00A144CA">
                      <w:pPr>
                        <w:jc w:val="center"/>
                        <w:rPr>
                          <w:rFonts w:ascii="Cambria" w:hAnsi="Cambria"/>
                          <w:lang w:val="en-US"/>
                        </w:rPr>
                      </w:pPr>
                      <w:r>
                        <w:rPr>
                          <w:rFonts w:ascii="Cambria" w:hAnsi="Cambria"/>
                          <w:lang w:val="en-US"/>
                        </w:rPr>
                        <w:t>ROA</w:t>
                      </w:r>
                    </w:p>
                  </w:txbxContent>
                </v:textbox>
              </v:shape>
            </w:pict>
          </mc:Fallback>
        </mc:AlternateContent>
      </w:r>
    </w:p>
    <w:p w14:paraId="52F6A2CD" w14:textId="31696CCB" w:rsidR="00A144CA" w:rsidRDefault="00A144CA" w:rsidP="00A144CA">
      <w:pPr>
        <w:spacing w:after="80" w:line="300" w:lineRule="exact"/>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5648" behindDoc="0" locked="0" layoutInCell="1" allowOverlap="1" wp14:anchorId="347F70A7" wp14:editId="24A38665">
                <wp:simplePos x="0" y="0"/>
                <wp:positionH relativeFrom="column">
                  <wp:posOffset>2214245</wp:posOffset>
                </wp:positionH>
                <wp:positionV relativeFrom="paragraph">
                  <wp:posOffset>222250</wp:posOffset>
                </wp:positionV>
                <wp:extent cx="190500" cy="1066800"/>
                <wp:effectExtent l="0" t="38100" r="57150" b="19050"/>
                <wp:wrapNone/>
                <wp:docPr id="23" name="Straight Arrow Connector 23"/>
                <wp:cNvGraphicFramePr/>
                <a:graphic xmlns:a="http://schemas.openxmlformats.org/drawingml/2006/main">
                  <a:graphicData uri="http://schemas.microsoft.com/office/word/2010/wordprocessingShape">
                    <wps:wsp>
                      <wps:cNvCnPr/>
                      <wps:spPr>
                        <a:xfrm flipV="1">
                          <a:off x="0" y="0"/>
                          <a:ext cx="190500" cy="1066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047C28" id="Straight Arrow Connector 23" o:spid="_x0000_s1026" type="#_x0000_t32" style="position:absolute;margin-left:174.35pt;margin-top:17.5pt;width:15pt;height:84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w99vwEAAM4DAAAOAAAAZHJzL2Uyb0RvYy54bWysU01v1DAQvSPxHyzf2SSVWJVosz1sgQuC&#10;Cih317ETC39pPGyy/56xs5siQKiquIxie96beW8mu5vZWXZUkEzwHW82NWfKy9AbP3T8/uu7V9ec&#10;JRS+FzZ41fGTSvxm//LFboqtugpjsL0CRiQ+tVPs+IgY26pKclROpE2IytOjDuAE0hGGqgcxEbuz&#10;1VVdb6spQB8hSJUS3d4uj3xf+LVWEj9pnRQy23HqDUuEEh9yrPY70Q4g4mjkuQ3xjC6cMJ6KrlS3&#10;AgX7AeYPKmckhBQ0bmRwVdDaSFU0kJqm/k3Nl1FEVbSQOSmuNqX/Rys/Hg/+DsiGKaY2xTvIKmYN&#10;jmlr4jeaadFFnbK52HZabVMzMkmXzZv6dU3mSnpq6u32mg5EWC08mS9CwvcqOJY/Op4QhBlGPATv&#10;aUIBlhri+CHhArwAMtj6HFEY+9b3DE+R1gjBCD9Yda6TU6pHAeULT1Yt8M9KM9PnRouUslvqYIEd&#10;BW1F/71ZWSgzQ7SxdgXV/wadczNMlX17KnDNLhWDxxXojA/wt6o4X1rVS/5F9aI1y34I/amMs9hB&#10;S1PmcF7wvJW/ngv88Tfc/wQAAP//AwBQSwMEFAAGAAgAAAAhAJtbU0bgAAAACgEAAA8AAABkcnMv&#10;ZG93bnJldi54bWxMj0FPwzAMhe9I/IfISNxYsrXQqWs6ISQugNgYu+yWtV5b0ThVkm2FX493gpvt&#10;9/T8vWI52l6c0IfOkYbpRIFAqlzdUaNh+/l8NwcRoqHa9I5QwzcGWJbXV4XJa3emDzxtYiM4hEJu&#10;NLQxDrmUoWrRmjBxAxJrB+etibz6RtbenDnc9nKm1IO0piP+0JoBn1qsvjZHq+Ft6lcv2e79kIbG&#10;/+zoNV2HtdP69mZ8XICIOMY/M1zwGR1KZtq7I9VB9BqSdJ6xlYd77sSGJLsc9hpmKlEgy0L+r1D+&#10;AgAA//8DAFBLAQItABQABgAIAAAAIQC2gziS/gAAAOEBAAATAAAAAAAAAAAAAAAAAAAAAABbQ29u&#10;dGVudF9UeXBlc10ueG1sUEsBAi0AFAAGAAgAAAAhADj9If/WAAAAlAEAAAsAAAAAAAAAAAAAAAAA&#10;LwEAAF9yZWxzLy5yZWxzUEsBAi0AFAAGAAgAAAAhAHuvD32/AQAAzgMAAA4AAAAAAAAAAAAAAAAA&#10;LgIAAGRycy9lMm9Eb2MueG1sUEsBAi0AFAAGAAgAAAAhAJtbU0bgAAAACgEAAA8AAAAAAAAAAAAA&#10;AAAAGQQAAGRycy9kb3ducmV2LnhtbFBLBQYAAAAABAAEAPMAAAAmBQAAAAA=&#10;" strokecolor="black [3200]" strokeweight=".5pt">
                <v:stroke endarrow="block" joinstyle="miter"/>
              </v:shape>
            </w:pict>
          </mc:Fallback>
        </mc:AlternateContent>
      </w:r>
      <w:r>
        <w:rPr>
          <w:rFonts w:ascii="Times New Roman" w:hAnsi="Times New Roman" w:cs="Times New Roman"/>
          <w:noProof/>
          <w:sz w:val="24"/>
        </w:rPr>
        <mc:AlternateContent>
          <mc:Choice Requires="wps">
            <w:drawing>
              <wp:anchor distT="0" distB="0" distL="114300" distR="114300" simplePos="0" relativeHeight="251674624" behindDoc="0" locked="0" layoutInCell="1" allowOverlap="1" wp14:anchorId="0173C0A7" wp14:editId="2F0C3E48">
                <wp:simplePos x="0" y="0"/>
                <wp:positionH relativeFrom="column">
                  <wp:posOffset>2080895</wp:posOffset>
                </wp:positionH>
                <wp:positionV relativeFrom="paragraph">
                  <wp:posOffset>222250</wp:posOffset>
                </wp:positionV>
                <wp:extent cx="133350" cy="1066800"/>
                <wp:effectExtent l="38100" t="38100" r="19050" b="19050"/>
                <wp:wrapNone/>
                <wp:docPr id="22" name="Straight Arrow Connector 22"/>
                <wp:cNvGraphicFramePr/>
                <a:graphic xmlns:a="http://schemas.openxmlformats.org/drawingml/2006/main">
                  <a:graphicData uri="http://schemas.microsoft.com/office/word/2010/wordprocessingShape">
                    <wps:wsp>
                      <wps:cNvCnPr/>
                      <wps:spPr>
                        <a:xfrm flipH="1" flipV="1">
                          <a:off x="0" y="0"/>
                          <a:ext cx="133350" cy="1066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E00761" id="Straight Arrow Connector 22" o:spid="_x0000_s1026" type="#_x0000_t32" style="position:absolute;margin-left:163.85pt;margin-top:17.5pt;width:10.5pt;height:84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zBlyAEAANgDAAAOAAAAZHJzL2Uyb0RvYy54bWysU02P1DAMvSPxH6LcmbY7YrSqprOHWT4O&#10;CFawcM+mSRuRJpFjpu2/x0lnugjQaoW4WG7sZ/s9u/ubabDspCAa7xpebUrOlJO+Na5r+Nf7t6+u&#10;OYsoXCusd6rhs4r85vDyxX4MtbryvbetAkZFXKzH0PAeMdRFEWWvBhE3PihHQe1hEEif0BUtiJGq&#10;D7a4KstdMXpoA3ipYqTX2yXID7m+1kriJ62jQmYbTrNhtpDtQ7LFYS/qDkTojTyPIf5hikEYR03X&#10;UrcCBfsB5o9Sg5Hgo9e4kX4ovNZGqsyB2FTlb2y+9CKozIXEiWGVKf6/svLj6ejugGQYQ6xjuIPE&#10;YtIwMG1NeE875dn7lrwUo5nZlAWcVwHVhEzSY7Xdbl+TzJJCVbnbXZdZ4WKpmNABIr5TfmDJaXhE&#10;EKbr8eido115WHqI04eINBMBL4AEti5ZFMa+cS3DOdBBIRjhOqvSJik9pRSPVLKHs1UL/LPSzLRp&#10;0EwlX5k6WmAnQffRfq/WKpSZINpYu4LKp0Hn3ART+fKeC1yzc0fvcAUOxnn4W1ecLqPqJf/CeuGa&#10;aD/4ds6LzXLQ+WR9zqee7vPX7wx//CEPPwEAAP//AwBQSwMEFAAGAAgAAAAhAJsPenXdAAAACgEA&#10;AA8AAABkcnMvZG93bnJldi54bWxMj81OwzAQhO9IvIO1lbhRuwnQEuJUgOiNS1MewI03P2q8jmKn&#10;CW/PcoLb7s5o9pt8v7heXHEMnScNm7UCgVR521Gj4et0uN+BCNGQNb0n1PCNAfbF7U1uMutnOuK1&#10;jI3gEAqZ0dDGOGRShqpFZ8LaD0is1X50JvI6NtKOZuZw18tEqSfpTEf8oTUDvrdYXcrJaZDhNB3T&#10;Zb5UNc6fdflhD2/Ns9Z3q+X1BUTEJf6Z4Ref0aFgprOfyAbRa0iT7ZatPDxyJzakDzs+nDUkKlUg&#10;i1z+r1D8AAAA//8DAFBLAQItABQABgAIAAAAIQC2gziS/gAAAOEBAAATAAAAAAAAAAAAAAAAAAAA&#10;AABbQ29udGVudF9UeXBlc10ueG1sUEsBAi0AFAAGAAgAAAAhADj9If/WAAAAlAEAAAsAAAAAAAAA&#10;AAAAAAAALwEAAF9yZWxzLy5yZWxzUEsBAi0AFAAGAAgAAAAhAAPbMGXIAQAA2AMAAA4AAAAAAAAA&#10;AAAAAAAALgIAAGRycy9lMm9Eb2MueG1sUEsBAi0AFAAGAAgAAAAhAJsPenXdAAAACgEAAA8AAAAA&#10;AAAAAAAAAAAAIgQAAGRycy9kb3ducmV2LnhtbFBLBQYAAAAABAAEAPMAAAAsBQAAAAA=&#10;" strokecolor="black [3200]" strokeweight=".5pt">
                <v:stroke endarrow="block" joinstyle="miter"/>
              </v:shape>
            </w:pict>
          </mc:Fallback>
        </mc:AlternateContent>
      </w:r>
    </w:p>
    <w:p w14:paraId="087DF9EA" w14:textId="13C58902" w:rsidR="00A144CA" w:rsidRDefault="00A144CA" w:rsidP="00A144CA">
      <w:pPr>
        <w:spacing w:after="80" w:line="300" w:lineRule="exact"/>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6432" behindDoc="0" locked="0" layoutInCell="1" allowOverlap="1" wp14:anchorId="5A78C98A" wp14:editId="145CC0F0">
                <wp:simplePos x="0" y="0"/>
                <wp:positionH relativeFrom="column">
                  <wp:posOffset>2838450</wp:posOffset>
                </wp:positionH>
                <wp:positionV relativeFrom="paragraph">
                  <wp:posOffset>240665</wp:posOffset>
                </wp:positionV>
                <wp:extent cx="1457325" cy="3619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1457325" cy="361950"/>
                        </a:xfrm>
                        <a:prstGeom prst="rect">
                          <a:avLst/>
                        </a:prstGeom>
                        <a:solidFill>
                          <a:schemeClr val="lt1"/>
                        </a:solidFill>
                        <a:ln w="6350">
                          <a:solidFill>
                            <a:prstClr val="black"/>
                          </a:solidFill>
                        </a:ln>
                      </wps:spPr>
                      <wps:txbx>
                        <w:txbxContent>
                          <w:p w14:paraId="58EDA0E2" w14:textId="62C54451" w:rsidR="00A144CA" w:rsidRPr="00A144CA" w:rsidRDefault="00A144CA" w:rsidP="00A144CA">
                            <w:pPr>
                              <w:jc w:val="center"/>
                              <w:rPr>
                                <w:rFonts w:ascii="Cambria" w:hAnsi="Cambria"/>
                                <w:lang w:val="en-US"/>
                              </w:rPr>
                            </w:pPr>
                            <w:r>
                              <w:rPr>
                                <w:rFonts w:ascii="Cambria" w:hAnsi="Cambria"/>
                                <w:lang w:val="en-US"/>
                              </w:rPr>
                              <w:t>ROE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78C98A" id="Text Box 15" o:spid="_x0000_s1029" type="#_x0000_t202" style="position:absolute;left:0;text-align:left;margin-left:223.5pt;margin-top:18.95pt;width:114.75pt;height:2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yxBNwIAAIMEAAAOAAAAZHJzL2Uyb0RvYy54bWysVEtv2zAMvg/YfxB0X5z3ViNOkaXIMCBo&#10;C6RDz4osxUJlUZOU2NmvH6U82+409CKTIvWR/Eh6ctvWmuyE8wpMQXudLiXCcCiV2RT019PiyzdK&#10;fGCmZBqMKOheeHo7/fxp0thc9KECXQpHEMT4vLEFrUKweZZ5Xoma+Q5YYdAowdUsoOo2WelYg+i1&#10;zvrd7jhrwJXWARfe4+3dwUinCV9KwcODlF4EoguKuYV0unSu45lNJyzfOGYrxY9psP/IombKYNAz&#10;1B0LjGydegdVK+7AgwwdDnUGUiouUg1YTa/7pppVxaxItSA53p5p8h8Hy+93K/voSGi/Q4sNjIQ0&#10;1uceL2M9rXR1/GKmBO1I4f5Mm2gD4fHRcPR10B9RwtE2GPduRonX7PLaOh9+CKhJFArqsC2JLbZb&#10;+oAR0fXkEoN50KpcKK2TEkdBzLUjO4ZN1CHliC9eeWlDmoKOBxj6HUKEPr9fa8ZfYpWvEVDTBi8v&#10;tUcptOuWqBKrOvGyhnKPdDk4TJK3fKEQfsl8eGQORwcZwnUID3hIDZgTHCVKKnB//nUf/bGjaKWk&#10;wVEsqP+9ZU5Qon8a7PVNbziMs5sU5LqPiru2rK8tZlvPAYnq4eJZnsToH/RJlA7qZ9yaWYyKJmY4&#10;xi5oOInzcFgQ3DouZrPkhNNqWVialeUROnIcaX1qn5mzx7YGHIh7OA0ty9909+AbXxqYbQNIlVof&#10;eT6weqQfJz1157iVcZWu9eR1+XdM/wIAAP//AwBQSwMEFAAGAAgAAAAhAK+1L2rdAAAACQEAAA8A&#10;AABkcnMvZG93bnJldi54bWxMj81OwzAQhO9IvIO1SNyoA4T8NU4FqHDhREE9u/HWjojXke2m4e0x&#10;JziOZjTzTbtZ7Mhm9GFwJOB2lQFD6p0aSAv4/Hi5qYCFKEnJ0REK+MYAm+7yopWNcmd6x3kXNUsl&#10;FBopwMQ4NZyH3qCVYeUmpOQdnbcyJuk1V16eU7kd+V2WFdzKgdKCkRM+G+y/dicrYPuka91X0ptt&#10;pYZhXvbHN/0qxPXV8rgGFnGJf2H4xU/o0CWmgzuRCmwUkOdl+hIF3Jc1sBQoyuIB2EFAndfAu5b/&#10;f9D9AAAA//8DAFBLAQItABQABgAIAAAAIQC2gziS/gAAAOEBAAATAAAAAAAAAAAAAAAAAAAAAABb&#10;Q29udGVudF9UeXBlc10ueG1sUEsBAi0AFAAGAAgAAAAhADj9If/WAAAAlAEAAAsAAAAAAAAAAAAA&#10;AAAALwEAAF9yZWxzLy5yZWxzUEsBAi0AFAAGAAgAAAAhAK33LEE3AgAAgwQAAA4AAAAAAAAAAAAA&#10;AAAALgIAAGRycy9lMm9Eb2MueG1sUEsBAi0AFAAGAAgAAAAhAK+1L2rdAAAACQEAAA8AAAAAAAAA&#10;AAAAAAAAkQQAAGRycy9kb3ducmV2LnhtbFBLBQYAAAAABAAEAPMAAACbBQAAAAA=&#10;" fillcolor="white [3201]" strokeweight=".5pt">
                <v:textbox>
                  <w:txbxContent>
                    <w:p w14:paraId="58EDA0E2" w14:textId="62C54451" w:rsidR="00A144CA" w:rsidRPr="00A144CA" w:rsidRDefault="00A144CA" w:rsidP="00A144CA">
                      <w:pPr>
                        <w:jc w:val="center"/>
                        <w:rPr>
                          <w:rFonts w:ascii="Cambria" w:hAnsi="Cambria"/>
                          <w:lang w:val="en-US"/>
                        </w:rPr>
                      </w:pPr>
                      <w:r>
                        <w:rPr>
                          <w:rFonts w:ascii="Cambria" w:hAnsi="Cambria"/>
                          <w:lang w:val="en-US"/>
                        </w:rPr>
                        <w:t>ROE</w:t>
                      </w:r>
                    </w:p>
                  </w:txbxContent>
                </v:textbox>
              </v:shape>
            </w:pict>
          </mc:Fallback>
        </mc:AlternateContent>
      </w:r>
    </w:p>
    <w:p w14:paraId="05661AB0" w14:textId="2683781F" w:rsidR="00A144CA" w:rsidRDefault="00A144CA" w:rsidP="00A144CA">
      <w:pPr>
        <w:spacing w:after="80" w:line="300" w:lineRule="exact"/>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6672" behindDoc="0" locked="0" layoutInCell="1" allowOverlap="1" wp14:anchorId="1CA40D70" wp14:editId="7DAB95DB">
                <wp:simplePos x="0" y="0"/>
                <wp:positionH relativeFrom="column">
                  <wp:posOffset>2214245</wp:posOffset>
                </wp:positionH>
                <wp:positionV relativeFrom="paragraph">
                  <wp:posOffset>206375</wp:posOffset>
                </wp:positionV>
                <wp:extent cx="190500" cy="600075"/>
                <wp:effectExtent l="0" t="38100" r="57150" b="28575"/>
                <wp:wrapNone/>
                <wp:docPr id="24" name="Straight Arrow Connector 24"/>
                <wp:cNvGraphicFramePr/>
                <a:graphic xmlns:a="http://schemas.openxmlformats.org/drawingml/2006/main">
                  <a:graphicData uri="http://schemas.microsoft.com/office/word/2010/wordprocessingShape">
                    <wps:wsp>
                      <wps:cNvCnPr/>
                      <wps:spPr>
                        <a:xfrm flipV="1">
                          <a:off x="0" y="0"/>
                          <a:ext cx="190500"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4DCDB2" id="Straight Arrow Connector 24" o:spid="_x0000_s1026" type="#_x0000_t32" style="position:absolute;margin-left:174.35pt;margin-top:16.25pt;width:15pt;height:47.2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hz6vwEAAM0DAAAOAAAAZHJzL2Uyb0RvYy54bWysU02P0zAQvSPxHyzfadyVdoGo6R66wAXB&#10;iq+71xknFv7S2DTNv2fstFkECCHEZeTY897MezPZ3Z6cZUfAZILv+HYjOAOvQm/80PHPn14/e8FZ&#10;ytL30gYPHZ8h8dv90ye7KbZwFcZge0BGJD61U+z4mHNsmyapEZxMmxDB06MO6GSmTxyaHuVE7M42&#10;V0LcNFPAPmJQkBLd3i2PfF/5tQaV32udIDPbceot14g1PpTY7HeyHVDG0ahzG/IfunDSeCq6Ut3J&#10;LNk3NL9QOaMwpKDzRgXXBK2NgqqB1GzFT2o+jjJC1ULmpLjalP4frXp3PPh7JBummNoU77GoOGl0&#10;TFsTv9BMqy7qlJ2qbfNqG5wyU3S5fSmuBZmr6OlGCPH8utjaLDSFLmLKbyA4Vg4dTxmlGcZ8CN7T&#10;gAIuJeTxbcoL8AIoYOtLzNLYV75neY60RRmN9IOFc52S0jz2X095trDAP4Bmpi99ViV1teBgkR0l&#10;LUX/dbuyUGaBaGPtChJ/Bp1zCwzquv0tcM2uFYPPK9AZH/B3VfPp0qpe8i+qF61F9kPo5zrNagft&#10;TJ3Deb/LUv74XeGPf+H+OwAAAP//AwBQSwMEFAAGAAgAAAAhAHOg+S3fAAAACgEAAA8AAABkcnMv&#10;ZG93bnJldi54bWxMj01PwzAMhu9I/IfISNxYuq7QqWs6ISQugNgYu+yWNV5b0ThVkm2FX493gps/&#10;Hr1+XC5H24sT+tA5UjCdJCCQamc6ahRsP5/v5iBC1GR07wgVfGOAZXV9VerCuDN94GkTG8EhFAqt&#10;oI1xKKQMdYtWh4kbkHh3cN7qyK1vpPH6zOG2l2mSPEirO+ILrR7wqcX6a3O0Ct6mfvWS794PWWj8&#10;z45es3VYO6Vub8bHBYiIY/yD4aLP6lCx094dyQTRK5hl85xRLtJ7EAzM8stgz2SaJyCrUv5/ofoF&#10;AAD//wMAUEsBAi0AFAAGAAgAAAAhALaDOJL+AAAA4QEAABMAAAAAAAAAAAAAAAAAAAAAAFtDb250&#10;ZW50X1R5cGVzXS54bWxQSwECLQAUAAYACAAAACEAOP0h/9YAAACUAQAACwAAAAAAAAAAAAAAAAAv&#10;AQAAX3JlbHMvLnJlbHNQSwECLQAUAAYACAAAACEAPG4c+r8BAADNAwAADgAAAAAAAAAAAAAAAAAu&#10;AgAAZHJzL2Uyb0RvYy54bWxQSwECLQAUAAYACAAAACEAc6D5Ld8AAAAKAQAADwAAAAAAAAAAAAAA&#10;AAAZBAAAZHJzL2Rvd25yZXYueG1sUEsFBgAAAAAEAAQA8wAAACUFAAAAAA==&#10;" strokecolor="black [3200]" strokeweight=".5pt">
                <v:stroke endarrow="block" joinstyle="miter"/>
              </v:shape>
            </w:pict>
          </mc:Fallback>
        </mc:AlternateContent>
      </w:r>
      <w:r>
        <w:rPr>
          <w:rFonts w:ascii="Times New Roman" w:hAnsi="Times New Roman" w:cs="Times New Roman"/>
          <w:noProof/>
          <w:sz w:val="24"/>
        </w:rPr>
        <mc:AlternateContent>
          <mc:Choice Requires="wps">
            <w:drawing>
              <wp:anchor distT="0" distB="0" distL="114300" distR="114300" simplePos="0" relativeHeight="251670528" behindDoc="0" locked="0" layoutInCell="1" allowOverlap="1" wp14:anchorId="34DA7D1B" wp14:editId="2BFB47AE">
                <wp:simplePos x="0" y="0"/>
                <wp:positionH relativeFrom="column">
                  <wp:posOffset>1623695</wp:posOffset>
                </wp:positionH>
                <wp:positionV relativeFrom="paragraph">
                  <wp:posOffset>206375</wp:posOffset>
                </wp:positionV>
                <wp:extent cx="1219200" cy="0"/>
                <wp:effectExtent l="0" t="76200" r="19050" b="95250"/>
                <wp:wrapNone/>
                <wp:docPr id="19" name="Straight Arrow Connector 19"/>
                <wp:cNvGraphicFramePr/>
                <a:graphic xmlns:a="http://schemas.openxmlformats.org/drawingml/2006/main">
                  <a:graphicData uri="http://schemas.microsoft.com/office/word/2010/wordprocessingShape">
                    <wps:wsp>
                      <wps:cNvCnPr/>
                      <wps:spPr>
                        <a:xfrm>
                          <a:off x="0" y="0"/>
                          <a:ext cx="1219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6D9E81" id="Straight Arrow Connector 19" o:spid="_x0000_s1026" type="#_x0000_t32" style="position:absolute;margin-left:127.85pt;margin-top:16.25pt;width:96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y3tAEAAL8DAAAOAAAAZHJzL2Uyb0RvYy54bWysU02P1DAMvSPxH6LcmU7ngKCazh5mgQuC&#10;FR8/IJs6bUSaRI6Ztv8eJzPTQQtCCHFxk9jP9nt293fz6MQJMNngW1lvtlKA16Gzvm/l1y9vX7yS&#10;IpHynXLBQysXSPLu8PzZfooN7MIQXAcoOIlPzRRbORDFpqqSHmBUaRMieHaagKMivmJfdagmzj66&#10;arfdvqymgF3EoCElfr0/O+Wh5DcGNH00JgEJ10rujYrFYh+zrQ571fSo4mD1pQ31D12Mynouuqa6&#10;V6TEd7S/pBqtxpCCoY0OYxWMsRoKB2ZTb5+w+TyoCIULi5PiKlP6f2n1h9PRPyDLMMXUpPiAmcVs&#10;cMxf7k/MRaxlFQtmEpof6139micghb76qhswYqJ3EEaRD61MhMr2Ax2D9zySgHURS53eJ+LSDLwC&#10;clXnsyVl3RvfCVoi7w2hVb53kAfG4TmkunVcTrQ4OMM/gRG2yz2WMmWZ4OhQnBSvQfetXrNwZIYY&#10;69wK2v4ZdInNMCgL9rfANbpUDJ5W4Gh9wN9VpfnaqjnHX1mfuWbaj6FbyvyKHLwlRZ/LRuc1/Ple&#10;4Lf/7vADAAD//wMAUEsDBBQABgAIAAAAIQCqcqG+3QAAAAkBAAAPAAAAZHJzL2Rvd25yZXYueG1s&#10;TI/BTsMwDIbvSLxDZCRuLKWsdOuaTgjBcUJbJ8Qxa9KmInGqJt3K22PEAY7+/en353I7O8vOegy9&#10;RwH3iwSYxsarHjsBx/r1bgUsRIlKWo9awJcOsK2ur0pZKH/BvT4fYseoBEMhBZgYh4Lz0BjtZFj4&#10;QSPtWj86GWkcO65GeaFyZ3maJI/cyR7pgpGDfja6+TxMTkBbd8fm42XFJ9u+5fW7WZtdvRPi9mZ+&#10;2gCLeo5/MPzokzpU5HTyE6rArIA0y3JCBTykGTAClsucgtNvwKuS//+g+gYAAP//AwBQSwECLQAU&#10;AAYACAAAACEAtoM4kv4AAADhAQAAEwAAAAAAAAAAAAAAAAAAAAAAW0NvbnRlbnRfVHlwZXNdLnht&#10;bFBLAQItABQABgAIAAAAIQA4/SH/1gAAAJQBAAALAAAAAAAAAAAAAAAAAC8BAABfcmVscy8ucmVs&#10;c1BLAQItABQABgAIAAAAIQD1sPy3tAEAAL8DAAAOAAAAAAAAAAAAAAAAAC4CAABkcnMvZTJvRG9j&#10;LnhtbFBLAQItABQABgAIAAAAIQCqcqG+3QAAAAkBAAAPAAAAAAAAAAAAAAAAAA4EAABkcnMvZG93&#10;bnJldi54bWxQSwUGAAAAAAQABADzAAAAGAUAAAAA&#10;" strokecolor="black [3200]" strokeweight=".5pt">
                <v:stroke endarrow="block" joinstyle="miter"/>
              </v:shape>
            </w:pict>
          </mc:Fallback>
        </mc:AlternateContent>
      </w: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7FB67326" wp14:editId="600D9D02">
                <wp:simplePos x="0" y="0"/>
                <wp:positionH relativeFrom="column">
                  <wp:posOffset>80645</wp:posOffset>
                </wp:positionH>
                <wp:positionV relativeFrom="paragraph">
                  <wp:posOffset>15875</wp:posOffset>
                </wp:positionV>
                <wp:extent cx="1543050" cy="3619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1543050" cy="361950"/>
                        </a:xfrm>
                        <a:prstGeom prst="rect">
                          <a:avLst/>
                        </a:prstGeom>
                        <a:solidFill>
                          <a:schemeClr val="lt1"/>
                        </a:solidFill>
                        <a:ln w="6350">
                          <a:solidFill>
                            <a:prstClr val="black"/>
                          </a:solidFill>
                        </a:ln>
                      </wps:spPr>
                      <wps:txbx>
                        <w:txbxContent>
                          <w:p w14:paraId="72F4BFD3" w14:textId="34C4CC50" w:rsidR="00A144CA" w:rsidRPr="00A144CA" w:rsidRDefault="00A144CA" w:rsidP="00A144CA">
                            <w:pPr>
                              <w:rPr>
                                <w:lang w:val="en-US"/>
                              </w:rPr>
                            </w:pPr>
                            <w:r>
                              <w:rPr>
                                <w:lang w:val="en-US"/>
                              </w:rPr>
                              <w:t xml:space="preserve">Zakat </w:t>
                            </w:r>
                            <w:r w:rsidRPr="00A144CA">
                              <w:rPr>
                                <w:rFonts w:ascii="Cambria" w:hAnsi="Cambria"/>
                                <w:lang w:val="en-US"/>
                              </w:rPr>
                              <w:t>Performing</w:t>
                            </w:r>
                            <w:r>
                              <w:rPr>
                                <w:lang w:val="en-US"/>
                              </w:rPr>
                              <w:t xml:space="preserve"> Ratio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B67326" id="Text Box 13" o:spid="_x0000_s1030" type="#_x0000_t202" style="position:absolute;left:0;text-align:left;margin-left:6.35pt;margin-top:1.25pt;width:121.5pt;height:2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piOAIAAIMEAAAOAAAAZHJzL2Uyb0RvYy54bWysVEtv2zAMvg/YfxB0X5z3WiNOkaXIMKBo&#10;C6RDz4osJcJkUZOU2NmvHyU7j7U7DbvIpEh9JD+Snt01lSYH4bwCU9BBr0+JMBxKZbYF/f6y+nRD&#10;iQ/MlEyDEQU9Ck/v5h8/zGqbiyHsQJfCEQQxPq9tQXch2DzLPN+JivkeWGHQKMFVLKDqtlnpWI3o&#10;lc6G/f40q8GV1gEX3uPtfWuk84QvpeDhSUovAtEFxdxCOl06N/HM5jOWbx2zO8W7NNg/ZFExZTDo&#10;GeqeBUb2Tr2DqhR34EGGHocqAykVF6kGrGbQf1PNesesSLUgOd6eafL/D5Y/Htb22ZHQfIEGGxgJ&#10;qa3PPV7GehrpqvjFTAnakcLjmTbRBMLjo8l41J+giaNtNB3cooww2eW1dT58FVCRKBTUYVsSW+zw&#10;4EPrenKJwTxoVa6U1kmJoyCW2pEDwybqkHJE8D+8tCF1QacjDP0OIUKf32804z+69K4QEE8bzPlS&#10;e5RCs2mIKgs6PvGygfKIdDloJ8lbvlII/8B8eGYORwdpwHUIT3hIDZgTdBIlO3C//nYf/bGjaKWk&#10;xlEsqP+5Z05Qor8Z7PXtYDyOs5uU8eTzEBV3bdlcW8y+WgISNcDFszyJ0T/okygdVK+4NYsYFU3M&#10;cIxd0HASl6FdENw6LhaL5ITTall4MGvLI3TkONL60rwyZ7u2BhyIRzgNLcvfdLf1jS8NLPYBpEqt&#10;jzy3rHb046Sn4em2Mq7StZ68Lv+O+W8AAAD//wMAUEsDBBQABgAIAAAAIQBjFf6C2AAAAAcBAAAP&#10;AAAAZHJzL2Rvd25yZXYueG1sTI7BTsMwEETvSPyDtUjcqEMkQxriVIAKF060iLMbb22L2I5sNw1/&#10;z3KC49OMZl63WfzIZkzZxSDhdlUBwzBE7YKR8LF/uWmA5aKCVmMMKOEbM2z6y4tOtTqewzvOu2IY&#10;jYTcKgm2lKnlPA8WvcqrOGGg7BiTV4UwGa6TOtO4H3ldVXfcKxfowaoJny0OX7uTl7B9MmszNCrZ&#10;baOdm5fP45t5lfL6anl8AFZwKX9l+NUndejJ6RBPQWc2Etf31JRQC2AU10IQHySItQDed/y/f/8D&#10;AAD//wMAUEsBAi0AFAAGAAgAAAAhALaDOJL+AAAA4QEAABMAAAAAAAAAAAAAAAAAAAAAAFtDb250&#10;ZW50X1R5cGVzXS54bWxQSwECLQAUAAYACAAAACEAOP0h/9YAAACUAQAACwAAAAAAAAAAAAAAAAAv&#10;AQAAX3JlbHMvLnJlbHNQSwECLQAUAAYACAAAACEAniYKYjgCAACDBAAADgAAAAAAAAAAAAAAAAAu&#10;AgAAZHJzL2Uyb0RvYy54bWxQSwECLQAUAAYACAAAACEAYxX+gtgAAAAHAQAADwAAAAAAAAAAAAAA&#10;AACSBAAAZHJzL2Rvd25yZXYueG1sUEsFBgAAAAAEAAQA8wAAAJcFAAAAAA==&#10;" fillcolor="white [3201]" strokeweight=".5pt">
                <v:textbox>
                  <w:txbxContent>
                    <w:p w14:paraId="72F4BFD3" w14:textId="34C4CC50" w:rsidR="00A144CA" w:rsidRPr="00A144CA" w:rsidRDefault="00A144CA" w:rsidP="00A144CA">
                      <w:pPr>
                        <w:rPr>
                          <w:lang w:val="en-US"/>
                        </w:rPr>
                      </w:pPr>
                      <w:r>
                        <w:rPr>
                          <w:lang w:val="en-US"/>
                        </w:rPr>
                        <w:t xml:space="preserve">Zakat </w:t>
                      </w:r>
                      <w:r w:rsidRPr="00A144CA">
                        <w:rPr>
                          <w:rFonts w:ascii="Cambria" w:hAnsi="Cambria"/>
                          <w:lang w:val="en-US"/>
                        </w:rPr>
                        <w:t>Performing</w:t>
                      </w:r>
                      <w:r>
                        <w:rPr>
                          <w:lang w:val="en-US"/>
                        </w:rPr>
                        <w:t xml:space="preserve"> Ratio</w:t>
                      </w:r>
                    </w:p>
                  </w:txbxContent>
                </v:textbox>
              </v:shape>
            </w:pict>
          </mc:Fallback>
        </mc:AlternateContent>
      </w:r>
    </w:p>
    <w:p w14:paraId="4A3ABCA5" w14:textId="1504AECA" w:rsidR="00A144CA" w:rsidRDefault="00A144CA" w:rsidP="00A144CA">
      <w:pPr>
        <w:spacing w:after="80" w:line="300" w:lineRule="exact"/>
        <w:jc w:val="both"/>
        <w:rPr>
          <w:rFonts w:ascii="Times New Roman" w:hAnsi="Times New Roman" w:cs="Times New Roman"/>
          <w:sz w:val="24"/>
        </w:rPr>
      </w:pPr>
    </w:p>
    <w:p w14:paraId="73F7540D" w14:textId="04274A4F" w:rsidR="00A144CA" w:rsidRDefault="00A144CA" w:rsidP="00A144CA">
      <w:pPr>
        <w:spacing w:after="80" w:line="300" w:lineRule="exact"/>
        <w:jc w:val="both"/>
        <w:rPr>
          <w:rFonts w:ascii="Times New Roman" w:hAnsi="Times New Roman" w:cs="Times New Roman"/>
          <w:sz w:val="24"/>
        </w:rPr>
      </w:pPr>
    </w:p>
    <w:p w14:paraId="774C9009" w14:textId="725A65E1" w:rsidR="00A144CA" w:rsidRDefault="00A144CA" w:rsidP="00A144CA">
      <w:pPr>
        <w:spacing w:after="80" w:line="300" w:lineRule="exact"/>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2576" behindDoc="0" locked="0" layoutInCell="1" allowOverlap="1" wp14:anchorId="68DAEA4C" wp14:editId="14E30364">
                <wp:simplePos x="0" y="0"/>
                <wp:positionH relativeFrom="column">
                  <wp:posOffset>1466850</wp:posOffset>
                </wp:positionH>
                <wp:positionV relativeFrom="paragraph">
                  <wp:posOffset>85090</wp:posOffset>
                </wp:positionV>
                <wp:extent cx="1543050" cy="36195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1543050" cy="361950"/>
                        </a:xfrm>
                        <a:prstGeom prst="rect">
                          <a:avLst/>
                        </a:prstGeom>
                        <a:solidFill>
                          <a:schemeClr val="lt1"/>
                        </a:solidFill>
                        <a:ln w="6350">
                          <a:solidFill>
                            <a:prstClr val="black"/>
                          </a:solidFill>
                        </a:ln>
                      </wps:spPr>
                      <wps:txbx>
                        <w:txbxContent>
                          <w:p w14:paraId="44DAC618" w14:textId="28F20FBA" w:rsidR="00A144CA" w:rsidRPr="00A144CA" w:rsidRDefault="00A144CA" w:rsidP="00A144CA">
                            <w:pPr>
                              <w:jc w:val="center"/>
                              <w:rPr>
                                <w:rFonts w:ascii="Cambria" w:hAnsi="Cambria"/>
                                <w:lang w:val="en-US"/>
                              </w:rPr>
                            </w:pPr>
                            <w:r w:rsidRPr="00A144CA">
                              <w:rPr>
                                <w:rFonts w:ascii="Cambria" w:hAnsi="Cambria"/>
                                <w:lang w:val="en-US"/>
                              </w:rPr>
                              <w:t>Third-Party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DAEA4C" id="Text Box 20" o:spid="_x0000_s1031" type="#_x0000_t202" style="position:absolute;left:0;text-align:left;margin-left:115.5pt;margin-top:6.7pt;width:121.5pt;height:28.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W3OAIAAIMEAAAOAAAAZHJzL2Uyb0RvYy54bWysVEtv2zAMvg/YfxB0X5z3WiNOkaXIMKBo&#10;C6RDz4osJcJkUZOU2NmvHyU7j7U7DbvIpEh9JD+Snt01lSYH4bwCU9BBr0+JMBxKZbYF/f6y+nRD&#10;iQ/MlEyDEQU9Ck/v5h8/zGqbiyHsQJfCEQQxPq9tQXch2DzLPN+JivkeWGHQKMFVLKDqtlnpWI3o&#10;lc6G/f40q8GV1gEX3uPtfWuk84QvpeDhSUovAtEFxdxCOl06N/HM5jOWbx2zO8W7NNg/ZFExZTDo&#10;GeqeBUb2Tr2DqhR34EGGHocqAykVF6kGrGbQf1PNesesSLUgOd6eafL/D5Y/Htb22ZHQfIEGGxgJ&#10;qa3PPV7GehrpqvjFTAnakcLjmTbRBMLjo8l41J+giaNtNB3cooww2eW1dT58FVCRKBTUYVsSW+zw&#10;4EPrenKJwTxoVa6U1kmJoyCW2pEDwybqkHJE8D+8tCF1QacjDP0OIUKf32804z+69K4QEE8bzPlS&#10;e5RCs2mIKgs6OfGygfKIdDloJ8lbvlII/8B8eGYORwdpwHUIT3hIDZgTdBIlO3C//nYf/bGjaKWk&#10;xlEsqP+5Z05Qor8Z7PXtYDyOs5uU8eTzEBV3bdlcW8y+WgISNcDFszyJ0T/okygdVK+4NYsYFU3M&#10;cIxd0HASl6FdENw6LhaL5ITTall4MGvLI3TkONL60rwyZ7u2BhyIRzgNLcvfdLf1jS8NLPYBpEqt&#10;jzy3rHb046Sn4em2Mq7StZ68Lv+O+W8AAAD//wMAUEsDBBQABgAIAAAAIQDMHA6w3AAAAAkBAAAP&#10;AAAAZHJzL2Rvd25yZXYueG1sTI/BTsMwEETvSPyDtUjcqNM2oiHEqQAVLpwoiLMbbx2LeB3Zbhr+&#10;nuUEx50Zzb5ptrMfxIQxuUAKlosCBFIXjCOr4OP9+aYCkbImo4dAqOAbE2zby4tG1yac6Q2nfbaC&#10;SyjVWkGf81hLmboevU6LMCKxdwzR68xntNJEfeZyP8hVUdxKrx3xh16P+NRj97U/eQW7R3tnu0rH&#10;flcZ56b58/hqX5S6vpof7kFknPNfGH7xGR1aZjqEE5kkBgWr9ZK3ZDbWJQgOlJuShYOCTVGCbBv5&#10;f0H7AwAA//8DAFBLAQItABQABgAIAAAAIQC2gziS/gAAAOEBAAATAAAAAAAAAAAAAAAAAAAAAABb&#10;Q29udGVudF9UeXBlc10ueG1sUEsBAi0AFAAGAAgAAAAhADj9If/WAAAAlAEAAAsAAAAAAAAAAAAA&#10;AAAALwEAAF9yZWxzLy5yZWxzUEsBAi0AFAAGAAgAAAAhAOGURbc4AgAAgwQAAA4AAAAAAAAAAAAA&#10;AAAALgIAAGRycy9lMm9Eb2MueG1sUEsBAi0AFAAGAAgAAAAhAMwcDrDcAAAACQEAAA8AAAAAAAAA&#10;AAAAAAAAkgQAAGRycy9kb3ducmV2LnhtbFBLBQYAAAAABAAEAPMAAACbBQAAAAA=&#10;" fillcolor="white [3201]" strokeweight=".5pt">
                <v:textbox>
                  <w:txbxContent>
                    <w:p w14:paraId="44DAC618" w14:textId="28F20FBA" w:rsidR="00A144CA" w:rsidRPr="00A144CA" w:rsidRDefault="00A144CA" w:rsidP="00A144CA">
                      <w:pPr>
                        <w:jc w:val="center"/>
                        <w:rPr>
                          <w:rFonts w:ascii="Cambria" w:hAnsi="Cambria"/>
                          <w:lang w:val="en-US"/>
                        </w:rPr>
                      </w:pPr>
                      <w:r w:rsidRPr="00A144CA">
                        <w:rPr>
                          <w:rFonts w:ascii="Cambria" w:hAnsi="Cambria"/>
                          <w:lang w:val="en-US"/>
                        </w:rPr>
                        <w:t>Third-Party Funds</w:t>
                      </w:r>
                    </w:p>
                  </w:txbxContent>
                </v:textbox>
              </v:shape>
            </w:pict>
          </mc:Fallback>
        </mc:AlternateContent>
      </w:r>
    </w:p>
    <w:p w14:paraId="2F9CB3DD" w14:textId="29ACF4B6" w:rsidR="00A144CA" w:rsidRDefault="00A144CA" w:rsidP="00A144CA">
      <w:pPr>
        <w:spacing w:after="80" w:line="300" w:lineRule="exact"/>
        <w:jc w:val="both"/>
        <w:rPr>
          <w:rFonts w:ascii="Times New Roman" w:hAnsi="Times New Roman" w:cs="Times New Roman"/>
          <w:sz w:val="24"/>
        </w:rPr>
      </w:pPr>
    </w:p>
    <w:p w14:paraId="6B34B245" w14:textId="1E48E745" w:rsidR="00A144CA" w:rsidRPr="00A144CA" w:rsidRDefault="00A144CA" w:rsidP="00A144CA">
      <w:pPr>
        <w:spacing w:after="80" w:line="300" w:lineRule="exact"/>
        <w:jc w:val="center"/>
        <w:rPr>
          <w:rFonts w:ascii="Cambria" w:hAnsi="Cambria" w:cs="Times New Roman"/>
          <w:lang w:val="en-US"/>
        </w:rPr>
      </w:pPr>
      <w:r w:rsidRPr="00A144CA">
        <w:rPr>
          <w:rFonts w:ascii="Cambria" w:hAnsi="Cambria" w:cs="Times New Roman"/>
          <w:b/>
          <w:bCs/>
          <w:lang w:val="en-US"/>
        </w:rPr>
        <w:t>Figu</w:t>
      </w:r>
      <w:r>
        <w:rPr>
          <w:rFonts w:ascii="Cambria" w:hAnsi="Cambria" w:cs="Times New Roman"/>
          <w:b/>
          <w:bCs/>
          <w:lang w:val="en-US"/>
        </w:rPr>
        <w:t xml:space="preserve">re 1. </w:t>
      </w:r>
      <w:r>
        <w:rPr>
          <w:rFonts w:ascii="Cambria" w:hAnsi="Cambria" w:cs="Times New Roman"/>
          <w:lang w:val="en-US"/>
        </w:rPr>
        <w:t>Research Framework</w:t>
      </w:r>
    </w:p>
    <w:p w14:paraId="1D3569CF" w14:textId="77777777" w:rsidR="00917A6B" w:rsidRPr="00173D33" w:rsidRDefault="00917A6B" w:rsidP="00917A6B">
      <w:pPr>
        <w:pStyle w:val="I-POINT"/>
      </w:pPr>
      <w:r w:rsidRPr="00173D33">
        <w:rPr>
          <w:rFonts w:eastAsia="Calibri Light"/>
        </w:rPr>
        <w:t>Research Methods</w:t>
      </w:r>
    </w:p>
    <w:p w14:paraId="430D35E2" w14:textId="71F78211" w:rsidR="009B3DA6" w:rsidRDefault="009B3DA6" w:rsidP="009B3DA6">
      <w:pPr>
        <w:pStyle w:val="ISI"/>
        <w:tabs>
          <w:tab w:val="left" w:leader="dot" w:pos="6521"/>
        </w:tabs>
        <w:ind w:firstLine="426"/>
        <w:rPr>
          <w:lang w:val="en-US"/>
        </w:rPr>
      </w:pPr>
      <w:bookmarkStart w:id="1" w:name="OLE_LINK4"/>
      <w:r w:rsidRPr="009B3DA6">
        <w:rPr>
          <w:lang w:val="en-US"/>
        </w:rPr>
        <w:t>This research uses quantitative methods</w:t>
      </w:r>
      <w:bookmarkEnd w:id="1"/>
      <w:r w:rsidRPr="009B3DA6">
        <w:rPr>
          <w:lang w:val="en-US"/>
        </w:rPr>
        <w:t xml:space="preserve">. The population in this study used Sharia Banks registered with the Financial Services Authority </w:t>
      </w:r>
      <w:r>
        <w:rPr>
          <w:lang w:val="en-US"/>
        </w:rPr>
        <w:t>from</w:t>
      </w:r>
      <w:r w:rsidRPr="009B3DA6">
        <w:rPr>
          <w:lang w:val="en-US"/>
        </w:rPr>
        <w:t xml:space="preserve"> 2014-</w:t>
      </w:r>
      <w:r>
        <w:rPr>
          <w:lang w:val="en-US"/>
        </w:rPr>
        <w:t xml:space="preserve">to </w:t>
      </w:r>
      <w:r w:rsidRPr="009B3DA6">
        <w:rPr>
          <w:lang w:val="en-US"/>
        </w:rPr>
        <w:t>2020. Sampling in this study used purposive sampling, namely having annual reports and financial reports for 2014-2020</w:t>
      </w:r>
      <w:r>
        <w:rPr>
          <w:lang w:val="en-US"/>
        </w:rPr>
        <w:t>,</w:t>
      </w:r>
      <w:r w:rsidRPr="009B3DA6">
        <w:rPr>
          <w:lang w:val="en-US"/>
        </w:rPr>
        <w:t xml:space="preserve"> and samples obtained were 77 companies. To test the direct relationship and moderation using SPSS. The direct relationship regression equation and moderation in this study are as follows:</w:t>
      </w:r>
    </w:p>
    <w:p w14:paraId="4E7C6C28" w14:textId="1DA7A261" w:rsidR="00A144CA" w:rsidRDefault="00A144CA" w:rsidP="00A144CA">
      <w:pPr>
        <w:pStyle w:val="ISI"/>
        <w:tabs>
          <w:tab w:val="left" w:leader="dot" w:pos="6521"/>
        </w:tabs>
        <w:ind w:firstLine="0"/>
        <w:rPr>
          <w:lang w:val="en-US"/>
        </w:rPr>
      </w:pPr>
      <w:r>
        <w:rPr>
          <w:lang w:val="en-US"/>
        </w:rPr>
        <w:t>ROA = α</w:t>
      </w:r>
      <w:r w:rsidRPr="00A144CA">
        <w:rPr>
          <w:vertAlign w:val="subscript"/>
          <w:lang w:val="en-US"/>
        </w:rPr>
        <w:t>1</w:t>
      </w:r>
      <w:r>
        <w:rPr>
          <w:lang w:val="en-US"/>
        </w:rPr>
        <w:t xml:space="preserve"> + β</w:t>
      </w:r>
      <w:r w:rsidRPr="00A144CA">
        <w:rPr>
          <w:vertAlign w:val="subscript"/>
          <w:lang w:val="en-US"/>
        </w:rPr>
        <w:t>1</w:t>
      </w:r>
      <w:r>
        <w:rPr>
          <w:lang w:val="en-US"/>
        </w:rPr>
        <w:t xml:space="preserve">IC + </w:t>
      </w:r>
      <w:r w:rsidRPr="00A144CA">
        <w:rPr>
          <w:lang w:val="en-US"/>
        </w:rPr>
        <w:t>βZPR</w:t>
      </w:r>
      <w:r>
        <w:rPr>
          <w:lang w:val="en-US"/>
        </w:rPr>
        <w:t xml:space="preserve"> + ε </w:t>
      </w:r>
      <w:r>
        <w:rPr>
          <w:lang w:val="en-US"/>
        </w:rPr>
        <w:tab/>
        <w:t>1</w:t>
      </w:r>
    </w:p>
    <w:p w14:paraId="2B7EA28C" w14:textId="63336226" w:rsidR="00A144CA" w:rsidRDefault="00A144CA" w:rsidP="00A144CA">
      <w:pPr>
        <w:pStyle w:val="ISI"/>
        <w:tabs>
          <w:tab w:val="left" w:leader="dot" w:pos="6521"/>
        </w:tabs>
        <w:ind w:firstLine="0"/>
        <w:rPr>
          <w:lang w:val="en-US"/>
        </w:rPr>
      </w:pPr>
      <w:r>
        <w:rPr>
          <w:lang w:val="en-US"/>
        </w:rPr>
        <w:t>ROE = α</w:t>
      </w:r>
      <w:r w:rsidRPr="00A144CA">
        <w:rPr>
          <w:vertAlign w:val="subscript"/>
          <w:lang w:val="en-US"/>
        </w:rPr>
        <w:t>1</w:t>
      </w:r>
      <w:r>
        <w:rPr>
          <w:lang w:val="en-US"/>
        </w:rPr>
        <w:t xml:space="preserve"> + β</w:t>
      </w:r>
      <w:r w:rsidRPr="00A144CA">
        <w:rPr>
          <w:vertAlign w:val="subscript"/>
          <w:lang w:val="en-US"/>
        </w:rPr>
        <w:t>1</w:t>
      </w:r>
      <w:r>
        <w:rPr>
          <w:lang w:val="en-US"/>
        </w:rPr>
        <w:t xml:space="preserve">IC + </w:t>
      </w:r>
      <w:r w:rsidRPr="00A144CA">
        <w:rPr>
          <w:lang w:val="en-US"/>
        </w:rPr>
        <w:t>βZPR</w:t>
      </w:r>
      <w:r>
        <w:rPr>
          <w:lang w:val="en-US"/>
        </w:rPr>
        <w:t xml:space="preserve"> + ε</w:t>
      </w:r>
      <w:r>
        <w:rPr>
          <w:lang w:val="en-US"/>
        </w:rPr>
        <w:tab/>
      </w:r>
      <w:r w:rsidR="00666D59">
        <w:rPr>
          <w:lang w:val="en-US"/>
        </w:rPr>
        <w:t>2</w:t>
      </w:r>
    </w:p>
    <w:p w14:paraId="6A1855B9" w14:textId="550A06C4" w:rsidR="00666D59" w:rsidRDefault="00666D59" w:rsidP="00A144CA">
      <w:pPr>
        <w:pStyle w:val="ISI"/>
        <w:tabs>
          <w:tab w:val="left" w:leader="dot" w:pos="6521"/>
        </w:tabs>
        <w:ind w:firstLine="0"/>
        <w:rPr>
          <w:lang w:val="en-US"/>
        </w:rPr>
      </w:pPr>
      <w:r>
        <w:rPr>
          <w:lang w:val="en-US"/>
        </w:rPr>
        <w:t>ROE = α</w:t>
      </w:r>
      <w:r w:rsidRPr="00A144CA">
        <w:rPr>
          <w:vertAlign w:val="subscript"/>
          <w:lang w:val="en-US"/>
        </w:rPr>
        <w:t>2</w:t>
      </w:r>
      <w:r>
        <w:rPr>
          <w:lang w:val="en-US"/>
        </w:rPr>
        <w:t xml:space="preserve"> + β</w:t>
      </w:r>
      <w:r>
        <w:rPr>
          <w:vertAlign w:val="subscript"/>
          <w:lang w:val="en-US"/>
        </w:rPr>
        <w:t>2</w:t>
      </w:r>
      <w:r>
        <w:rPr>
          <w:lang w:val="en-US"/>
        </w:rPr>
        <w:t xml:space="preserve">IC + + </w:t>
      </w:r>
      <w:r w:rsidRPr="00A144CA">
        <w:rPr>
          <w:lang w:val="en-US"/>
        </w:rPr>
        <w:t>βZPR</w:t>
      </w:r>
      <w:r>
        <w:rPr>
          <w:lang w:val="en-US"/>
        </w:rPr>
        <w:t xml:space="preserve"> + β</w:t>
      </w:r>
      <w:r>
        <w:rPr>
          <w:vertAlign w:val="subscript"/>
          <w:lang w:val="en-US"/>
        </w:rPr>
        <w:softHyphen/>
        <w:t>3</w:t>
      </w:r>
      <w:r>
        <w:rPr>
          <w:lang w:val="en-US"/>
        </w:rPr>
        <w:t xml:space="preserve">TPF + </w:t>
      </w:r>
      <w:r w:rsidRPr="00A144CA">
        <w:rPr>
          <w:lang w:val="en-US"/>
        </w:rPr>
        <w:t>β</w:t>
      </w:r>
      <w:r>
        <w:rPr>
          <w:lang w:val="en-US"/>
        </w:rPr>
        <w:t xml:space="preserve">TPF*IC + </w:t>
      </w:r>
      <w:r w:rsidRPr="00A144CA">
        <w:rPr>
          <w:lang w:val="en-US"/>
        </w:rPr>
        <w:t>β</w:t>
      </w:r>
      <w:r>
        <w:rPr>
          <w:lang w:val="en-US"/>
        </w:rPr>
        <w:t xml:space="preserve">TPF*ZPR + ε </w:t>
      </w:r>
      <w:r>
        <w:rPr>
          <w:lang w:val="en-US"/>
        </w:rPr>
        <w:tab/>
        <w:t>3</w:t>
      </w:r>
    </w:p>
    <w:p w14:paraId="7B881AE1" w14:textId="5C43ACA2" w:rsidR="00A144CA" w:rsidRDefault="00A144CA" w:rsidP="00A144CA">
      <w:pPr>
        <w:pStyle w:val="ISI"/>
        <w:tabs>
          <w:tab w:val="left" w:leader="dot" w:pos="6521"/>
        </w:tabs>
        <w:ind w:firstLine="0"/>
        <w:rPr>
          <w:lang w:val="en-US"/>
        </w:rPr>
      </w:pPr>
      <w:r>
        <w:rPr>
          <w:lang w:val="en-US"/>
        </w:rPr>
        <w:t>ROA = α</w:t>
      </w:r>
      <w:r w:rsidRPr="00A144CA">
        <w:rPr>
          <w:vertAlign w:val="subscript"/>
          <w:lang w:val="en-US"/>
        </w:rPr>
        <w:t>2</w:t>
      </w:r>
      <w:r>
        <w:rPr>
          <w:lang w:val="en-US"/>
        </w:rPr>
        <w:t xml:space="preserve"> + β</w:t>
      </w:r>
      <w:r>
        <w:rPr>
          <w:vertAlign w:val="subscript"/>
          <w:lang w:val="en-US"/>
        </w:rPr>
        <w:t>2</w:t>
      </w:r>
      <w:r>
        <w:rPr>
          <w:lang w:val="en-US"/>
        </w:rPr>
        <w:t xml:space="preserve">IC + + </w:t>
      </w:r>
      <w:r w:rsidRPr="00A144CA">
        <w:rPr>
          <w:lang w:val="en-US"/>
        </w:rPr>
        <w:t>βZPR</w:t>
      </w:r>
      <w:r>
        <w:rPr>
          <w:lang w:val="en-US"/>
        </w:rPr>
        <w:t xml:space="preserve"> + β</w:t>
      </w:r>
      <w:r>
        <w:rPr>
          <w:vertAlign w:val="subscript"/>
          <w:lang w:val="en-US"/>
        </w:rPr>
        <w:softHyphen/>
        <w:t>3</w:t>
      </w:r>
      <w:r>
        <w:rPr>
          <w:lang w:val="en-US"/>
        </w:rPr>
        <w:t xml:space="preserve">TPF + </w:t>
      </w:r>
      <w:r w:rsidRPr="00A144CA">
        <w:rPr>
          <w:lang w:val="en-US"/>
        </w:rPr>
        <w:t>β</w:t>
      </w:r>
      <w:r>
        <w:rPr>
          <w:lang w:val="en-US"/>
        </w:rPr>
        <w:t xml:space="preserve">TPF*IC + </w:t>
      </w:r>
      <w:r w:rsidRPr="00A144CA">
        <w:rPr>
          <w:lang w:val="en-US"/>
        </w:rPr>
        <w:t>β</w:t>
      </w:r>
      <w:r>
        <w:rPr>
          <w:lang w:val="en-US"/>
        </w:rPr>
        <w:t xml:space="preserve">TPF*ZPR + ε </w:t>
      </w:r>
      <w:r>
        <w:rPr>
          <w:lang w:val="en-US"/>
        </w:rPr>
        <w:tab/>
        <w:t>4</w:t>
      </w:r>
    </w:p>
    <w:p w14:paraId="279968DE" w14:textId="48B02A87" w:rsidR="009B3DA6" w:rsidRDefault="00A73D8B" w:rsidP="009B3DA6">
      <w:pPr>
        <w:spacing w:after="80" w:line="300" w:lineRule="exact"/>
        <w:ind w:firstLine="426"/>
        <w:contextualSpacing/>
        <w:jc w:val="both"/>
        <w:rPr>
          <w:rFonts w:ascii="Cambria" w:hAnsi="Cambria" w:cs="Times New Roman"/>
        </w:rPr>
      </w:pPr>
      <w:r w:rsidRPr="00BF5210">
        <w:rPr>
          <w:rFonts w:ascii="Cambria" w:hAnsi="Cambria" w:cs="Times New Roman"/>
        </w:rPr>
        <w:fldChar w:fldCharType="begin" w:fldLock="1"/>
      </w:r>
      <w:r w:rsidR="00E96528" w:rsidRPr="00BF5210">
        <w:rPr>
          <w:rFonts w:ascii="Cambria" w:hAnsi="Cambria" w:cs="Times New Roman"/>
        </w:rPr>
        <w:instrText>ADDIN CSL_CITATION {"citationItems":[{"id":"ITEM-1","itemData":{"DOI":"10.1108/IMEFM-05-2016-0073","ISSN":"17538408","abstract":"Purpose: The purpose of this study is to empirically investigate the impact of intellectual capital (IC) on the financial performance of Islamic banks operating in the Gulf Cooperation Council (GCC) countries. Design/methodology/approach: The study measures IC by the value added intellectual coefficient model. A regression analysis was used to assess the impact of IC on financial performance. The research sample consisted of Islamic banks operating in the GCC countries during the years 2011, 2012 and 2013. Data originated from the annual reports of Islamic banks. Findings: The results support the thesis that IC has a positive impact on the financial performance of Islamic banks. Even though the average IC is lower than that reported in other studies, the positive effect on financial performance is obvious. The findings also show that human capital (HC) is higher than capital employed (CE) and structural capital (SC). The study reveals that SC has an insignificant impact on the financial performance of the Islamic banks compared to CE and HC. Practical implications: The findings provide empirical evidence that IC affects the Islamic banks’ financial performance. It helps Islamic banks in the GCC countries to understand how to use their IC efficiently, especially SC as it is yet to be used efficiently. Also, the findings benefit the relevant authorities (e.g. legislators and central banks) who could use them to emphasise strategic policy reforms whenever required. Originality/value: The current research adds to the empirical studies in the GCC countries as it views the region as a collective as opposed to individual countries. It also extends the IC and performance measurement literature of Islamic banks in the GCC countries. Moreover, the current study enriches the limited literature on IC in the context of Islamic banking.","author":[{"dropping-particle":"","family":"Ousama","given":"A. A.","non-dropping-particle":"","parse-names":false,"suffix":""},{"dropping-particle":"","family":"Hammami","given":"Helmi","non-dropping-particle":"","parse-names":false,"suffix":""},{"dropping-particle":"","family":"Abdulkarim","given":"Mustafa","non-dropping-particle":"","parse-names":false,"suffix":""}],"container-title":"International Journal of Islamic and Middle Eastern Finance and Management","id":"ITEM-1","issue":"1","issued":{"date-parts":[["2020"]]},"page":"75-93","title":"The association between intellectual capital and financial performance in the Islamic banking industry: An analysis of the GCC banks","type":"article-journal","volume":"13"},"uris":["http://www.mendeley.com/documents/?uuid=bf41c27e-72d7-4e60-9d2c-38faa063c35e","http://www.mendeley.com/documents/?uuid=360f1aa2-0b4f-4ce2-8c02-2736f853bc0d"]}],"mendeley":{"formattedCitation":"(Ousama et al., 2020)","manualFormatting":"Ousama et al., (2020)","plainTextFormattedCitation":"(Ousama et al., 2020)","previouslyFormattedCitation":"(Ousama et al., 2020)"},"properties":{"noteIndex":0},"schema":"https://github.com/citation-style-language/schema/raw/master/csl-citation.json"}</w:instrText>
      </w:r>
      <w:r w:rsidRPr="00BF5210">
        <w:rPr>
          <w:rFonts w:ascii="Cambria" w:hAnsi="Cambria" w:cs="Times New Roman"/>
        </w:rPr>
        <w:fldChar w:fldCharType="separate"/>
      </w:r>
      <w:r w:rsidRPr="00BF5210">
        <w:rPr>
          <w:rFonts w:ascii="Cambria" w:hAnsi="Cambria" w:cs="Times New Roman"/>
          <w:noProof/>
        </w:rPr>
        <w:t xml:space="preserve">Ousama et al., </w:t>
      </w:r>
      <w:r w:rsidRPr="00BF5210">
        <w:rPr>
          <w:rFonts w:ascii="Cambria" w:hAnsi="Cambria" w:cs="Times New Roman"/>
          <w:noProof/>
          <w:lang w:val="en-US"/>
        </w:rPr>
        <w:t>(</w:t>
      </w:r>
      <w:r w:rsidRPr="00BF5210">
        <w:rPr>
          <w:rFonts w:ascii="Cambria" w:hAnsi="Cambria" w:cs="Times New Roman"/>
          <w:noProof/>
        </w:rPr>
        <w:t>2020)</w:t>
      </w:r>
      <w:r w:rsidRPr="00BF5210">
        <w:rPr>
          <w:rFonts w:ascii="Cambria" w:hAnsi="Cambria" w:cs="Times New Roman"/>
        </w:rPr>
        <w:fldChar w:fldCharType="end"/>
      </w:r>
      <w:r w:rsidRPr="00BF5210">
        <w:rPr>
          <w:rFonts w:ascii="Cambria" w:hAnsi="Cambria" w:cs="Times New Roman"/>
          <w:lang w:val="en-US"/>
        </w:rPr>
        <w:t xml:space="preserve"> </w:t>
      </w:r>
      <w:r w:rsidR="009B3DA6" w:rsidRPr="00BF5210">
        <w:rPr>
          <w:rFonts w:ascii="Cambria" w:hAnsi="Cambria" w:cs="Times New Roman"/>
        </w:rPr>
        <w:t>provide an explanation that intellectual capital is a measuring tool in</w:t>
      </w:r>
      <w:r w:rsidR="009B3DA6" w:rsidRPr="009B3DA6">
        <w:rPr>
          <w:rFonts w:ascii="Cambria" w:hAnsi="Cambria" w:cs="Times New Roman"/>
        </w:rPr>
        <w:t xml:space="preserve"> assessing company assets, with the following formula:</w:t>
      </w:r>
    </w:p>
    <w:p w14:paraId="7B18B50F" w14:textId="7C4B7D16" w:rsidR="00A144CA" w:rsidRPr="009B3DA6" w:rsidRDefault="009B3DA6" w:rsidP="009B3DA6">
      <w:pPr>
        <w:pStyle w:val="ListParagraph"/>
        <w:numPr>
          <w:ilvl w:val="0"/>
          <w:numId w:val="6"/>
        </w:numPr>
        <w:spacing w:after="80" w:line="300" w:lineRule="exact"/>
        <w:ind w:left="426" w:hanging="426"/>
        <w:contextualSpacing/>
        <w:jc w:val="both"/>
        <w:rPr>
          <w:rFonts w:ascii="Cambria" w:hAnsi="Cambria" w:cs="Times New Roman"/>
          <w:sz w:val="22"/>
          <w:szCs w:val="22"/>
        </w:rPr>
      </w:pPr>
      <w:r>
        <w:rPr>
          <w:rFonts w:ascii="Cambria" w:hAnsi="Cambria" w:cs="Times New Roman"/>
          <w:sz w:val="22"/>
          <w:szCs w:val="22"/>
          <w:lang w:val="en-US"/>
        </w:rPr>
        <w:t>Calculation</w:t>
      </w:r>
      <w:r w:rsidR="00A144CA" w:rsidRPr="009B3DA6">
        <w:rPr>
          <w:rFonts w:ascii="Cambria" w:hAnsi="Cambria" w:cs="Times New Roman"/>
          <w:sz w:val="22"/>
          <w:szCs w:val="22"/>
        </w:rPr>
        <w:t xml:space="preserve"> VA</w:t>
      </w:r>
    </w:p>
    <w:p w14:paraId="7DE6F70F" w14:textId="2BE669C3" w:rsidR="00A144CA" w:rsidRPr="005730E8" w:rsidRDefault="00A144CA" w:rsidP="009B3DA6">
      <w:pPr>
        <w:pStyle w:val="ListParagraph"/>
        <w:spacing w:before="0" w:beforeAutospacing="0" w:after="80" w:afterAutospacing="0" w:line="300" w:lineRule="exact"/>
        <w:ind w:left="284" w:firstLine="142"/>
        <w:jc w:val="both"/>
        <w:rPr>
          <w:rFonts w:ascii="Cambria" w:hAnsi="Cambria" w:cs="Times New Roman"/>
          <w:sz w:val="22"/>
          <w:szCs w:val="22"/>
        </w:rPr>
      </w:pPr>
      <w:r w:rsidRPr="005730E8">
        <w:rPr>
          <w:rFonts w:ascii="Cambria" w:hAnsi="Cambria" w:cs="Times New Roman"/>
          <w:sz w:val="22"/>
          <w:szCs w:val="22"/>
        </w:rPr>
        <w:t>VA</w:t>
      </w:r>
      <w:r w:rsidRPr="005730E8">
        <w:rPr>
          <w:rFonts w:ascii="Cambria" w:hAnsi="Cambria" w:cs="Times New Roman"/>
          <w:sz w:val="22"/>
          <w:szCs w:val="22"/>
        </w:rPr>
        <w:tab/>
      </w:r>
      <w:r w:rsidRPr="005730E8">
        <w:rPr>
          <w:rFonts w:ascii="Cambria" w:hAnsi="Cambria" w:cs="Times New Roman"/>
          <w:sz w:val="22"/>
          <w:szCs w:val="22"/>
        </w:rPr>
        <w:tab/>
      </w:r>
      <w:r w:rsidR="00666D59">
        <w:rPr>
          <w:rFonts w:ascii="Cambria" w:hAnsi="Cambria" w:cs="Times New Roman"/>
          <w:sz w:val="22"/>
          <w:szCs w:val="22"/>
        </w:rPr>
        <w:tab/>
      </w:r>
      <w:r w:rsidRPr="005730E8">
        <w:rPr>
          <w:rFonts w:ascii="Cambria" w:hAnsi="Cambria" w:cs="Times New Roman"/>
          <w:sz w:val="22"/>
          <w:szCs w:val="22"/>
        </w:rPr>
        <w:t>= OUT – IN</w:t>
      </w:r>
    </w:p>
    <w:p w14:paraId="20A0E8F8" w14:textId="06BB836A" w:rsidR="00A144CA" w:rsidRPr="009B3DA6" w:rsidRDefault="00A144CA" w:rsidP="009B3DA6">
      <w:pPr>
        <w:pStyle w:val="ListParagraph"/>
        <w:spacing w:before="0" w:beforeAutospacing="0" w:after="80" w:afterAutospacing="0" w:line="300" w:lineRule="exact"/>
        <w:ind w:left="284" w:firstLine="142"/>
        <w:jc w:val="both"/>
        <w:rPr>
          <w:rFonts w:ascii="Cambria" w:hAnsi="Cambria" w:cs="Times New Roman"/>
          <w:sz w:val="22"/>
          <w:szCs w:val="22"/>
          <w:lang w:val="en-US"/>
        </w:rPr>
      </w:pPr>
      <w:r w:rsidRPr="005730E8">
        <w:rPr>
          <w:rFonts w:ascii="Cambria" w:hAnsi="Cambria" w:cs="Times New Roman"/>
          <w:sz w:val="22"/>
          <w:szCs w:val="22"/>
        </w:rPr>
        <w:t xml:space="preserve">OUT (Output) </w:t>
      </w:r>
      <w:r w:rsidRPr="005730E8">
        <w:rPr>
          <w:rFonts w:ascii="Cambria" w:hAnsi="Cambria" w:cs="Times New Roman"/>
          <w:sz w:val="22"/>
          <w:szCs w:val="22"/>
        </w:rPr>
        <w:tab/>
        <w:t xml:space="preserve">= Total </w:t>
      </w:r>
      <w:r w:rsidR="009B3DA6">
        <w:rPr>
          <w:rFonts w:ascii="Cambria" w:hAnsi="Cambria" w:cs="Times New Roman"/>
          <w:sz w:val="22"/>
          <w:szCs w:val="22"/>
          <w:lang w:val="en-US"/>
        </w:rPr>
        <w:t>income</w:t>
      </w:r>
    </w:p>
    <w:p w14:paraId="581648EF" w14:textId="26D95C01" w:rsidR="00A144CA" w:rsidRPr="005730E8" w:rsidRDefault="00A144CA" w:rsidP="009B3DA6">
      <w:pPr>
        <w:pStyle w:val="ListParagraph"/>
        <w:spacing w:before="0" w:beforeAutospacing="0" w:after="80" w:afterAutospacing="0" w:line="300" w:lineRule="exact"/>
        <w:ind w:left="284" w:firstLine="142"/>
        <w:jc w:val="both"/>
        <w:rPr>
          <w:rFonts w:ascii="Cambria" w:hAnsi="Cambria" w:cs="Times New Roman"/>
          <w:sz w:val="22"/>
          <w:szCs w:val="22"/>
        </w:rPr>
      </w:pPr>
      <w:r w:rsidRPr="005730E8">
        <w:rPr>
          <w:rFonts w:ascii="Cambria" w:hAnsi="Cambria" w:cs="Times New Roman"/>
          <w:sz w:val="22"/>
          <w:szCs w:val="22"/>
        </w:rPr>
        <w:t xml:space="preserve">IN (Input) </w:t>
      </w:r>
      <w:r w:rsidR="00666D59">
        <w:rPr>
          <w:rFonts w:ascii="Cambria" w:hAnsi="Cambria" w:cs="Times New Roman"/>
          <w:sz w:val="22"/>
          <w:szCs w:val="22"/>
        </w:rPr>
        <w:tab/>
      </w:r>
      <w:r w:rsidRPr="005730E8">
        <w:rPr>
          <w:rFonts w:ascii="Cambria" w:hAnsi="Cambria" w:cs="Times New Roman"/>
          <w:sz w:val="22"/>
          <w:szCs w:val="22"/>
        </w:rPr>
        <w:tab/>
        <w:t xml:space="preserve">= </w:t>
      </w:r>
      <w:r w:rsidR="009B3DA6">
        <w:rPr>
          <w:rFonts w:ascii="Cambria" w:hAnsi="Cambria" w:cs="Times New Roman"/>
          <w:sz w:val="22"/>
          <w:szCs w:val="22"/>
          <w:lang w:val="en-US"/>
        </w:rPr>
        <w:t>O</w:t>
      </w:r>
      <w:r w:rsidR="009B3DA6" w:rsidRPr="009B3DA6">
        <w:rPr>
          <w:rFonts w:ascii="Cambria" w:hAnsi="Cambria" w:cs="Times New Roman"/>
          <w:sz w:val="22"/>
          <w:szCs w:val="22"/>
        </w:rPr>
        <w:t>perating expenses</w:t>
      </w:r>
    </w:p>
    <w:p w14:paraId="69F8E6AB" w14:textId="76E50DB5" w:rsidR="00A144CA" w:rsidRPr="005730E8" w:rsidRDefault="009B3DA6" w:rsidP="009B3DA6">
      <w:pPr>
        <w:pStyle w:val="ListParagraph"/>
        <w:numPr>
          <w:ilvl w:val="0"/>
          <w:numId w:val="6"/>
        </w:numPr>
        <w:spacing w:after="80" w:afterAutospacing="0" w:line="300" w:lineRule="exact"/>
        <w:ind w:left="426" w:hanging="426"/>
        <w:contextualSpacing/>
        <w:jc w:val="both"/>
        <w:rPr>
          <w:rFonts w:ascii="Cambria" w:hAnsi="Cambria" w:cs="Times New Roman"/>
          <w:sz w:val="22"/>
          <w:szCs w:val="22"/>
        </w:rPr>
      </w:pPr>
      <w:r>
        <w:rPr>
          <w:rFonts w:ascii="Cambria" w:hAnsi="Cambria" w:cs="Times New Roman"/>
          <w:sz w:val="22"/>
          <w:szCs w:val="22"/>
          <w:lang w:val="en-US"/>
        </w:rPr>
        <w:t>Calculation</w:t>
      </w:r>
      <w:r w:rsidR="00A144CA" w:rsidRPr="005730E8">
        <w:rPr>
          <w:rFonts w:ascii="Cambria" w:hAnsi="Cambria" w:cs="Times New Roman"/>
          <w:sz w:val="22"/>
          <w:szCs w:val="22"/>
        </w:rPr>
        <w:t xml:space="preserve"> VACA</w:t>
      </w:r>
    </w:p>
    <w:p w14:paraId="0CB612E7" w14:textId="025ECAD5" w:rsidR="00A144CA" w:rsidRPr="005730E8" w:rsidRDefault="00A144CA" w:rsidP="009B3DA6">
      <w:pPr>
        <w:pStyle w:val="ListParagraph"/>
        <w:spacing w:after="80" w:afterAutospacing="0" w:line="300" w:lineRule="exact"/>
        <w:ind w:left="426"/>
        <w:contextualSpacing/>
        <w:jc w:val="both"/>
        <w:rPr>
          <w:rFonts w:ascii="Cambria" w:hAnsi="Cambria" w:cs="Times New Roman"/>
          <w:sz w:val="22"/>
          <w:szCs w:val="22"/>
          <w:lang w:val="en-US"/>
        </w:rPr>
      </w:pPr>
      <w:r w:rsidRPr="005730E8">
        <w:rPr>
          <w:rFonts w:ascii="Cambria" w:hAnsi="Cambria" w:cs="Times New Roman"/>
          <w:sz w:val="22"/>
          <w:szCs w:val="22"/>
          <w:lang w:val="en-US"/>
        </w:rPr>
        <w:t>VACA</w:t>
      </w:r>
      <w:r w:rsidRPr="005730E8">
        <w:rPr>
          <w:rFonts w:ascii="Cambria" w:hAnsi="Cambria" w:cs="Times New Roman"/>
          <w:sz w:val="22"/>
          <w:szCs w:val="22"/>
          <w:lang w:val="en-US"/>
        </w:rPr>
        <w:tab/>
      </w:r>
      <w:r w:rsidRPr="005730E8">
        <w:rPr>
          <w:rFonts w:ascii="Cambria" w:hAnsi="Cambria" w:cs="Times New Roman"/>
          <w:sz w:val="22"/>
          <w:szCs w:val="22"/>
          <w:lang w:val="en-US"/>
        </w:rPr>
        <w:tab/>
        <w:t>= VA / CE</w:t>
      </w:r>
    </w:p>
    <w:p w14:paraId="3FFFE728" w14:textId="3C9C645F" w:rsidR="00A144CA" w:rsidRPr="009B3DA6" w:rsidRDefault="00A144CA" w:rsidP="009B3DA6">
      <w:pPr>
        <w:spacing w:after="80" w:line="300" w:lineRule="exact"/>
        <w:ind w:left="284" w:firstLine="142"/>
        <w:jc w:val="both"/>
        <w:rPr>
          <w:rFonts w:ascii="Cambria" w:eastAsiaTheme="minorEastAsia" w:hAnsi="Cambria" w:cs="Times New Roman"/>
          <w:lang w:val="en-US"/>
        </w:rPr>
      </w:pPr>
      <w:r w:rsidRPr="005730E8">
        <w:rPr>
          <w:rFonts w:ascii="Cambria" w:eastAsiaTheme="minorEastAsia" w:hAnsi="Cambria" w:cs="Times New Roman"/>
        </w:rPr>
        <w:t xml:space="preserve">CE </w:t>
      </w:r>
      <w:r w:rsidRPr="005730E8">
        <w:rPr>
          <w:rFonts w:ascii="Cambria" w:eastAsiaTheme="minorEastAsia" w:hAnsi="Cambria" w:cs="Times New Roman"/>
        </w:rPr>
        <w:tab/>
      </w:r>
      <w:r w:rsidRPr="005730E8">
        <w:rPr>
          <w:rFonts w:ascii="Cambria" w:eastAsiaTheme="minorEastAsia" w:hAnsi="Cambria" w:cs="Times New Roman"/>
        </w:rPr>
        <w:tab/>
        <w:t xml:space="preserve">= Total </w:t>
      </w:r>
      <w:r w:rsidR="009B3DA6">
        <w:rPr>
          <w:rFonts w:ascii="Cambria" w:eastAsiaTheme="minorEastAsia" w:hAnsi="Cambria" w:cs="Times New Roman"/>
          <w:lang w:val="en-US"/>
        </w:rPr>
        <w:t>equity</w:t>
      </w:r>
    </w:p>
    <w:p w14:paraId="5753CF0F" w14:textId="131174B9" w:rsidR="00A144CA" w:rsidRPr="005730E8" w:rsidRDefault="009B3DA6" w:rsidP="009B3DA6">
      <w:pPr>
        <w:pStyle w:val="ListParagraph"/>
        <w:numPr>
          <w:ilvl w:val="0"/>
          <w:numId w:val="6"/>
        </w:numPr>
        <w:spacing w:before="0" w:beforeAutospacing="0" w:after="80" w:afterAutospacing="0" w:line="300" w:lineRule="exact"/>
        <w:ind w:left="426" w:hanging="426"/>
        <w:contextualSpacing/>
        <w:jc w:val="both"/>
        <w:rPr>
          <w:rFonts w:ascii="Cambria" w:hAnsi="Cambria" w:cs="Times New Roman"/>
          <w:sz w:val="22"/>
          <w:szCs w:val="22"/>
        </w:rPr>
      </w:pPr>
      <w:r>
        <w:rPr>
          <w:rFonts w:ascii="Cambria" w:hAnsi="Cambria" w:cs="Times New Roman"/>
          <w:sz w:val="22"/>
          <w:szCs w:val="22"/>
          <w:lang w:val="en-US"/>
        </w:rPr>
        <w:t>Calculation</w:t>
      </w:r>
      <w:r w:rsidR="00A144CA" w:rsidRPr="005730E8">
        <w:rPr>
          <w:rFonts w:ascii="Cambria" w:hAnsi="Cambria" w:cs="Times New Roman"/>
          <w:sz w:val="22"/>
          <w:szCs w:val="22"/>
        </w:rPr>
        <w:t xml:space="preserve"> VAHU</w:t>
      </w:r>
    </w:p>
    <w:p w14:paraId="453B5102" w14:textId="4E2A806D" w:rsidR="00A144CA" w:rsidRPr="005730E8" w:rsidRDefault="00A144CA" w:rsidP="009B3DA6">
      <w:pPr>
        <w:pStyle w:val="ListParagraph"/>
        <w:spacing w:before="0" w:beforeAutospacing="0" w:after="80" w:afterAutospacing="0" w:line="300" w:lineRule="exact"/>
        <w:ind w:left="426"/>
        <w:contextualSpacing/>
        <w:jc w:val="both"/>
        <w:rPr>
          <w:rFonts w:ascii="Cambria" w:hAnsi="Cambria" w:cs="Times New Roman"/>
          <w:sz w:val="22"/>
          <w:szCs w:val="22"/>
          <w:lang w:val="en-US"/>
        </w:rPr>
      </w:pPr>
      <w:r w:rsidRPr="005730E8">
        <w:rPr>
          <w:rFonts w:ascii="Cambria" w:hAnsi="Cambria" w:cs="Times New Roman"/>
          <w:sz w:val="22"/>
          <w:szCs w:val="22"/>
          <w:lang w:val="en-US"/>
        </w:rPr>
        <w:t>VAHU</w:t>
      </w:r>
      <w:r w:rsidRPr="005730E8">
        <w:rPr>
          <w:rFonts w:ascii="Cambria" w:hAnsi="Cambria" w:cs="Times New Roman"/>
          <w:sz w:val="22"/>
          <w:szCs w:val="22"/>
          <w:lang w:val="en-US"/>
        </w:rPr>
        <w:tab/>
      </w:r>
      <w:r w:rsidRPr="005730E8">
        <w:rPr>
          <w:rFonts w:ascii="Cambria" w:hAnsi="Cambria" w:cs="Times New Roman"/>
          <w:sz w:val="22"/>
          <w:szCs w:val="22"/>
          <w:lang w:val="en-US"/>
        </w:rPr>
        <w:tab/>
        <w:t>= VA / HC</w:t>
      </w:r>
    </w:p>
    <w:p w14:paraId="0F9F9C69" w14:textId="5448E2E1" w:rsidR="00A144CA" w:rsidRPr="009B3DA6" w:rsidRDefault="00A144CA" w:rsidP="009B3DA6">
      <w:pPr>
        <w:spacing w:after="80" w:line="300" w:lineRule="exact"/>
        <w:ind w:left="426" w:hanging="426"/>
        <w:jc w:val="both"/>
        <w:rPr>
          <w:rFonts w:ascii="Cambria" w:eastAsiaTheme="minorEastAsia" w:hAnsi="Cambria" w:cs="Times New Roman"/>
          <w:lang w:val="en-US"/>
        </w:rPr>
      </w:pPr>
      <w:r w:rsidRPr="005730E8">
        <w:rPr>
          <w:rFonts w:ascii="Cambria" w:eastAsiaTheme="minorEastAsia" w:hAnsi="Cambria" w:cs="Times New Roman"/>
        </w:rPr>
        <w:tab/>
        <w:t xml:space="preserve">HC </w:t>
      </w:r>
      <w:r w:rsidRPr="005730E8">
        <w:rPr>
          <w:rFonts w:ascii="Cambria" w:eastAsiaTheme="minorEastAsia" w:hAnsi="Cambria" w:cs="Times New Roman"/>
        </w:rPr>
        <w:tab/>
      </w:r>
      <w:r w:rsidRPr="005730E8">
        <w:rPr>
          <w:rFonts w:ascii="Cambria" w:eastAsiaTheme="minorEastAsia" w:hAnsi="Cambria" w:cs="Times New Roman"/>
        </w:rPr>
        <w:tab/>
        <w:t xml:space="preserve">= </w:t>
      </w:r>
      <w:r w:rsidR="009B3DA6">
        <w:rPr>
          <w:rFonts w:ascii="Cambria" w:eastAsiaTheme="minorEastAsia" w:hAnsi="Cambria" w:cs="Times New Roman"/>
          <w:lang w:val="en-US"/>
        </w:rPr>
        <w:t>Employee expenses</w:t>
      </w:r>
    </w:p>
    <w:p w14:paraId="79402416" w14:textId="63E250F4" w:rsidR="00A144CA" w:rsidRPr="005730E8" w:rsidRDefault="009B3DA6" w:rsidP="009B3DA6">
      <w:pPr>
        <w:pStyle w:val="ListParagraph"/>
        <w:numPr>
          <w:ilvl w:val="0"/>
          <w:numId w:val="6"/>
        </w:numPr>
        <w:spacing w:before="0" w:beforeAutospacing="0" w:after="80" w:afterAutospacing="0" w:line="300" w:lineRule="exact"/>
        <w:ind w:left="426" w:hanging="426"/>
        <w:contextualSpacing/>
        <w:jc w:val="both"/>
        <w:rPr>
          <w:rFonts w:ascii="Cambria" w:hAnsi="Cambria" w:cs="Times New Roman"/>
          <w:sz w:val="22"/>
          <w:szCs w:val="22"/>
        </w:rPr>
      </w:pPr>
      <w:r>
        <w:rPr>
          <w:rFonts w:ascii="Cambria" w:hAnsi="Cambria" w:cs="Times New Roman"/>
          <w:sz w:val="22"/>
          <w:szCs w:val="22"/>
          <w:lang w:val="en-US"/>
        </w:rPr>
        <w:t>Calculation</w:t>
      </w:r>
      <w:r w:rsidR="00A144CA" w:rsidRPr="005730E8">
        <w:rPr>
          <w:rFonts w:ascii="Cambria" w:hAnsi="Cambria" w:cs="Times New Roman"/>
          <w:sz w:val="22"/>
          <w:szCs w:val="22"/>
        </w:rPr>
        <w:t xml:space="preserve"> STVA</w:t>
      </w:r>
    </w:p>
    <w:p w14:paraId="2CB545D2" w14:textId="56A44932" w:rsidR="00A144CA" w:rsidRPr="005730E8" w:rsidRDefault="00A144CA" w:rsidP="009B3DA6">
      <w:pPr>
        <w:pStyle w:val="ListParagraph"/>
        <w:spacing w:before="0" w:beforeAutospacing="0" w:after="80" w:afterAutospacing="0" w:line="300" w:lineRule="exact"/>
        <w:ind w:left="284" w:firstLine="142"/>
        <w:contextualSpacing/>
        <w:jc w:val="both"/>
        <w:rPr>
          <w:rFonts w:ascii="Cambria" w:hAnsi="Cambria" w:cs="Times New Roman"/>
          <w:sz w:val="22"/>
          <w:szCs w:val="22"/>
        </w:rPr>
      </w:pPr>
      <w:r w:rsidRPr="005730E8">
        <w:rPr>
          <w:rFonts w:ascii="Cambria" w:hAnsi="Cambria" w:cs="Times New Roman"/>
          <w:sz w:val="22"/>
          <w:szCs w:val="22"/>
          <w:lang w:val="en-US"/>
        </w:rPr>
        <w:t>STVA</w:t>
      </w:r>
      <w:r w:rsidRPr="005730E8">
        <w:rPr>
          <w:rFonts w:ascii="Cambria" w:hAnsi="Cambria" w:cs="Times New Roman"/>
          <w:sz w:val="22"/>
          <w:szCs w:val="22"/>
          <w:lang w:val="en-US"/>
        </w:rPr>
        <w:tab/>
      </w:r>
      <w:r w:rsidRPr="005730E8">
        <w:rPr>
          <w:rFonts w:ascii="Cambria" w:hAnsi="Cambria" w:cs="Times New Roman"/>
          <w:sz w:val="22"/>
          <w:szCs w:val="22"/>
          <w:lang w:val="en-US"/>
        </w:rPr>
        <w:tab/>
        <w:t>= SC / VA</w:t>
      </w:r>
    </w:p>
    <w:p w14:paraId="41445D6F" w14:textId="2D3AF04F" w:rsidR="00A144CA" w:rsidRPr="005730E8" w:rsidRDefault="00A144CA" w:rsidP="009B3DA6">
      <w:pPr>
        <w:spacing w:after="80" w:line="300" w:lineRule="exact"/>
        <w:ind w:left="284" w:firstLine="142"/>
        <w:jc w:val="both"/>
        <w:rPr>
          <w:rFonts w:ascii="Cambria" w:eastAsiaTheme="minorEastAsia" w:hAnsi="Cambria" w:cs="Times New Roman"/>
        </w:rPr>
      </w:pPr>
      <w:r w:rsidRPr="005730E8">
        <w:rPr>
          <w:rFonts w:ascii="Cambria" w:eastAsiaTheme="minorEastAsia" w:hAnsi="Cambria" w:cs="Times New Roman"/>
        </w:rPr>
        <w:t xml:space="preserve">SC </w:t>
      </w:r>
      <w:r w:rsidRPr="005730E8">
        <w:rPr>
          <w:rFonts w:ascii="Cambria" w:eastAsiaTheme="minorEastAsia" w:hAnsi="Cambria" w:cs="Times New Roman"/>
        </w:rPr>
        <w:tab/>
      </w:r>
      <w:r w:rsidRPr="005730E8">
        <w:rPr>
          <w:rFonts w:ascii="Cambria" w:eastAsiaTheme="minorEastAsia" w:hAnsi="Cambria" w:cs="Times New Roman"/>
        </w:rPr>
        <w:tab/>
      </w:r>
      <w:r w:rsidR="009B3DA6">
        <w:rPr>
          <w:rFonts w:ascii="Cambria" w:eastAsiaTheme="minorEastAsia" w:hAnsi="Cambria" w:cs="Times New Roman"/>
        </w:rPr>
        <w:tab/>
      </w:r>
      <w:r w:rsidRPr="005730E8">
        <w:rPr>
          <w:rFonts w:ascii="Cambria" w:eastAsiaTheme="minorEastAsia" w:hAnsi="Cambria" w:cs="Times New Roman"/>
        </w:rPr>
        <w:t>= VA - HC</w:t>
      </w:r>
    </w:p>
    <w:p w14:paraId="76C1447C" w14:textId="08833954" w:rsidR="00A144CA" w:rsidRPr="005730E8" w:rsidRDefault="009B3DA6" w:rsidP="009B3DA6">
      <w:pPr>
        <w:pStyle w:val="ListParagraph"/>
        <w:numPr>
          <w:ilvl w:val="0"/>
          <w:numId w:val="6"/>
        </w:numPr>
        <w:spacing w:before="0" w:beforeAutospacing="0" w:after="80" w:afterAutospacing="0" w:line="300" w:lineRule="exact"/>
        <w:ind w:left="426" w:hanging="426"/>
        <w:contextualSpacing/>
        <w:jc w:val="both"/>
        <w:rPr>
          <w:rFonts w:ascii="Cambria" w:hAnsi="Cambria" w:cs="Times New Roman"/>
          <w:sz w:val="22"/>
          <w:szCs w:val="22"/>
        </w:rPr>
      </w:pPr>
      <w:r>
        <w:rPr>
          <w:rFonts w:ascii="Cambria" w:hAnsi="Cambria" w:cs="Times New Roman"/>
          <w:sz w:val="22"/>
          <w:szCs w:val="22"/>
          <w:lang w:val="en-US"/>
        </w:rPr>
        <w:t>Calculation</w:t>
      </w:r>
      <w:r w:rsidR="00A144CA" w:rsidRPr="005730E8">
        <w:rPr>
          <w:rFonts w:ascii="Cambria" w:hAnsi="Cambria" w:cs="Times New Roman"/>
          <w:sz w:val="22"/>
          <w:szCs w:val="22"/>
        </w:rPr>
        <w:t xml:space="preserve"> VAIC</w:t>
      </w:r>
    </w:p>
    <w:p w14:paraId="6F6D4F17" w14:textId="2A705B96" w:rsidR="00A144CA" w:rsidRPr="005730E8" w:rsidRDefault="00A144CA" w:rsidP="009B3DA6">
      <w:pPr>
        <w:pStyle w:val="ListParagraph"/>
        <w:spacing w:before="0" w:beforeAutospacing="0" w:after="80" w:afterAutospacing="0" w:line="300" w:lineRule="exact"/>
        <w:ind w:left="284" w:firstLine="142"/>
        <w:jc w:val="both"/>
        <w:rPr>
          <w:rFonts w:ascii="Cambria" w:hAnsi="Cambria" w:cs="Times New Roman"/>
          <w:sz w:val="22"/>
          <w:szCs w:val="22"/>
        </w:rPr>
      </w:pPr>
      <w:r w:rsidRPr="005730E8">
        <w:rPr>
          <w:rFonts w:ascii="Cambria" w:hAnsi="Cambria" w:cs="Times New Roman"/>
          <w:sz w:val="22"/>
          <w:szCs w:val="22"/>
        </w:rPr>
        <w:t xml:space="preserve">VAIC </w:t>
      </w:r>
      <w:r w:rsidRPr="005730E8">
        <w:rPr>
          <w:rFonts w:ascii="Cambria" w:hAnsi="Cambria" w:cs="Times New Roman"/>
          <w:sz w:val="22"/>
          <w:szCs w:val="22"/>
        </w:rPr>
        <w:tab/>
      </w:r>
      <w:r w:rsidRPr="005730E8">
        <w:rPr>
          <w:rFonts w:ascii="Cambria" w:hAnsi="Cambria" w:cs="Times New Roman"/>
          <w:sz w:val="22"/>
          <w:szCs w:val="22"/>
        </w:rPr>
        <w:tab/>
        <w:t>= VACA + VAHU + STVA</w:t>
      </w:r>
    </w:p>
    <w:p w14:paraId="768B3E8D" w14:textId="39B3DA3E" w:rsidR="009B3DA6" w:rsidRPr="00BF5210" w:rsidRDefault="00E31568" w:rsidP="009B3DA6">
      <w:pPr>
        <w:pStyle w:val="ISI"/>
        <w:tabs>
          <w:tab w:val="left" w:leader="dot" w:pos="6521"/>
          <w:tab w:val="left" w:leader="dot" w:pos="6663"/>
        </w:tabs>
        <w:rPr>
          <w:rFonts w:cs="Times New Roman"/>
          <w:spacing w:val="0"/>
        </w:rPr>
      </w:pPr>
      <w:r w:rsidRPr="00BF5210">
        <w:rPr>
          <w:rFonts w:cs="Times New Roman"/>
          <w:spacing w:val="0"/>
        </w:rPr>
        <w:fldChar w:fldCharType="begin" w:fldLock="1"/>
      </w:r>
      <w:r w:rsidR="00E96528" w:rsidRPr="00BF5210">
        <w:rPr>
          <w:rFonts w:cs="Times New Roman"/>
          <w:spacing w:val="0"/>
        </w:rPr>
        <w:instrText>ADDIN CSL_CITATION {"citationItems":[{"id":"ITEM-1","itemData":{"DOI":"10.21275/ART20193580","abstract":"This study aims to determine the effect of Intellectual capital, and Islamic performance index on financial performance. \nThis research is a causal study with a population of Indonesian Islamic Commercial Banks. The number of samples taken is nine \nIndonesian Islamic Commercial Banks for the period 2013-2017. PLS is used as an analytical tool in this study. The research data used \ncomes from financial reports collected by downloading on the official website of Bank Indonesia, the Financial Services Authority or \nthe official website of the relevant Sharia Commercial Bank. The analysis period is from 2013 to 2017. The results of the analysis show \nthat intellectual capital has a significant effect on financial performance, and Islamic performance index has a significant effect on \nfinancial performance.","author":[{"dropping-particle":"","family":"Nurpermana","given":"Adi","non-dropping-particle":"","parse-names":false,"suffix":""}],"container-title":"International Journal of Science and Research (IJSR)","id":"ITEM-1","issue":"September","issued":{"date-parts":[["2021"]]},"page":"1-10","title":"Effect of Intellectual Capital, Islamicity  Performance on Financial Performance in Causal  Models: Empirical Study on Indonesian Islamic  Banks","type":"article-journal"},"uris":["http://www.mendeley.com/documents/?uuid=f7922ebc-ae7e-4439-9584-19028d2f7488","http://www.mendeley.com/documents/?uuid=c0ccef2f-1f75-42f6-bfad-c7b412ae71cf"]}],"mendeley":{"formattedCitation":"(Nurpermana, 2021)","manualFormatting":"Nurpermana, (2021)","plainTextFormattedCitation":"(Nurpermana, 2021)","previouslyFormattedCitation":"(Nurpermana, 2021)"},"properties":{"noteIndex":0},"schema":"https://github.com/citation-style-language/schema/raw/master/csl-citation.json"}</w:instrText>
      </w:r>
      <w:r w:rsidRPr="00BF5210">
        <w:rPr>
          <w:rFonts w:cs="Times New Roman"/>
          <w:spacing w:val="0"/>
        </w:rPr>
        <w:fldChar w:fldCharType="separate"/>
      </w:r>
      <w:r w:rsidRPr="00BF5210">
        <w:rPr>
          <w:rFonts w:cs="Times New Roman"/>
          <w:noProof/>
          <w:spacing w:val="0"/>
        </w:rPr>
        <w:t xml:space="preserve">Nurpermana, </w:t>
      </w:r>
      <w:r w:rsidRPr="00BF5210">
        <w:rPr>
          <w:rFonts w:cs="Times New Roman"/>
          <w:noProof/>
          <w:spacing w:val="0"/>
          <w:lang w:val="en-US"/>
        </w:rPr>
        <w:t>(</w:t>
      </w:r>
      <w:r w:rsidRPr="00BF5210">
        <w:rPr>
          <w:rFonts w:cs="Times New Roman"/>
          <w:noProof/>
          <w:spacing w:val="0"/>
        </w:rPr>
        <w:t>2021)</w:t>
      </w:r>
      <w:r w:rsidRPr="00BF5210">
        <w:rPr>
          <w:rFonts w:cs="Times New Roman"/>
          <w:spacing w:val="0"/>
        </w:rPr>
        <w:fldChar w:fldCharType="end"/>
      </w:r>
      <w:r w:rsidRPr="00BF5210">
        <w:rPr>
          <w:rFonts w:cs="Times New Roman"/>
          <w:spacing w:val="0"/>
          <w:lang w:val="en-US"/>
        </w:rPr>
        <w:t xml:space="preserve"> </w:t>
      </w:r>
      <w:r w:rsidR="009B3DA6" w:rsidRPr="00BF5210">
        <w:rPr>
          <w:rFonts w:cs="Times New Roman"/>
          <w:spacing w:val="0"/>
        </w:rPr>
        <w:t>explain that ZPR is a measuring tool for zakat performance with the zakat formula compared to net assets multiplied by 100%.</w:t>
      </w:r>
    </w:p>
    <w:p w14:paraId="38DC0F3C" w14:textId="533BCED4" w:rsidR="00A144CA" w:rsidRPr="00A144CA" w:rsidRDefault="00B74C60" w:rsidP="009B3DA6">
      <w:pPr>
        <w:pStyle w:val="ISI"/>
        <w:tabs>
          <w:tab w:val="left" w:leader="dot" w:pos="6521"/>
          <w:tab w:val="left" w:leader="dot" w:pos="6663"/>
        </w:tabs>
        <w:ind w:firstLine="426"/>
        <w:rPr>
          <w:lang w:val="en-US"/>
        </w:rPr>
      </w:pPr>
      <w:r w:rsidRPr="00BF5210">
        <w:rPr>
          <w:rFonts w:cs="Times New Roman"/>
          <w:spacing w:val="0"/>
        </w:rPr>
        <w:fldChar w:fldCharType="begin" w:fldLock="1"/>
      </w:r>
      <w:r w:rsidR="00E96528" w:rsidRPr="00BF5210">
        <w:rPr>
          <w:rFonts w:cs="Times New Roman"/>
          <w:spacing w:val="0"/>
        </w:rPr>
        <w:instrText>ADDIN CSL_CITATION {"citationItems":[{"id":"ITEM-1","itemData":{"DOI":"10.36349/easjebm.2019.v02i04.010","abstract":"The purpose of this research is to know the influence of third party funds on profitability with profit sharing as intervening variable in sharia banking in Indonesia. By using purposive sampling method, 10 sharia banks are selected as sample for the period of 2013 until 2016. The data is derived from financial report and annual report of the sharia banks. The results of this study indicate that third party funds influence the revenue sharing, where the greater the third party funds, the higher the revenue share. The profit sharing influences profitability. Third party funds have positive influence on profitability so that profit sharing can be an intervening variable between third party funds and profitability.","author":[{"dropping-particle":"","family":"Hermuningsih","given":"Sri","non-dropping-particle":"","parse-names":false,"suffix":""}],"container-title":"East African Scholars Journal of Economics, Business and Management","id":"ITEM-1","issue":"4 (April)","issued":{"date-parts":[["2019"]]},"page":"242-251","title":"Third Party Funds and Indonesia ’ s Sharia Banking Profitability with Revenue Sharing as Intervening Variable","type":"article-journal","volume":"2"},"uris":["http://www.mendeley.com/documents/?uuid=afa2a20e-b43d-41b3-9eb6-f334e4f75a31","http://www.mendeley.com/documents/?uuid=a25bbdb8-2fb1-4919-a8e3-3430862bcd94"]}],"mendeley":{"formattedCitation":"(Hermuningsih, 2019)","manualFormatting":"Hermuningsih (2019)","plainTextFormattedCitation":"(Hermuningsih, 2019)","previouslyFormattedCitation":"(Hermuningsih, 2019)"},"properties":{"noteIndex":0},"schema":"https://github.com/citation-style-language/schema/raw/master/csl-citation.json"}</w:instrText>
      </w:r>
      <w:r w:rsidRPr="00BF5210">
        <w:rPr>
          <w:rFonts w:cs="Times New Roman"/>
          <w:spacing w:val="0"/>
        </w:rPr>
        <w:fldChar w:fldCharType="separate"/>
      </w:r>
      <w:r w:rsidRPr="00BF5210">
        <w:rPr>
          <w:rFonts w:cs="Times New Roman"/>
          <w:noProof/>
          <w:spacing w:val="0"/>
        </w:rPr>
        <w:t xml:space="preserve">Hermuningsih </w:t>
      </w:r>
      <w:r w:rsidRPr="00BF5210">
        <w:rPr>
          <w:rFonts w:cs="Times New Roman"/>
          <w:noProof/>
          <w:spacing w:val="0"/>
          <w:lang w:val="en-US"/>
        </w:rPr>
        <w:t>(</w:t>
      </w:r>
      <w:r w:rsidRPr="00BF5210">
        <w:rPr>
          <w:rFonts w:cs="Times New Roman"/>
          <w:noProof/>
          <w:spacing w:val="0"/>
        </w:rPr>
        <w:t>2019)</w:t>
      </w:r>
      <w:r w:rsidRPr="00BF5210">
        <w:rPr>
          <w:rFonts w:cs="Times New Roman"/>
          <w:spacing w:val="0"/>
        </w:rPr>
        <w:fldChar w:fldCharType="end"/>
      </w:r>
      <w:r w:rsidRPr="00BF5210">
        <w:rPr>
          <w:rFonts w:cs="Times New Roman"/>
          <w:spacing w:val="0"/>
          <w:lang w:val="en-US"/>
        </w:rPr>
        <w:t xml:space="preserve"> </w:t>
      </w:r>
      <w:r w:rsidR="009B3DA6" w:rsidRPr="00BF5210">
        <w:rPr>
          <w:rFonts w:cs="Times New Roman"/>
          <w:spacing w:val="0"/>
        </w:rPr>
        <w:t>e</w:t>
      </w:r>
      <w:r w:rsidR="009B3DA6">
        <w:rPr>
          <w:rFonts w:cs="Times New Roman"/>
          <w:spacing w:val="0"/>
        </w:rPr>
        <w:t>xplai</w:t>
      </w:r>
      <w:r w:rsidR="009B3DA6" w:rsidRPr="009B3DA6">
        <w:rPr>
          <w:rFonts w:cs="Times New Roman"/>
          <w:spacing w:val="0"/>
        </w:rPr>
        <w:t>n that third</w:t>
      </w:r>
      <w:r w:rsidR="009B3DA6">
        <w:rPr>
          <w:rFonts w:cs="Times New Roman"/>
          <w:spacing w:val="0"/>
        </w:rPr>
        <w:t>-</w:t>
      </w:r>
      <w:r w:rsidR="009B3DA6" w:rsidRPr="009B3DA6">
        <w:rPr>
          <w:rFonts w:cs="Times New Roman"/>
          <w:spacing w:val="0"/>
        </w:rPr>
        <w:t>party funds are funds from the wider community consisting of savings, current accounts, and time deposits.</w:t>
      </w:r>
    </w:p>
    <w:p w14:paraId="2E4B2AD0" w14:textId="46F4EB26" w:rsidR="00917A6B" w:rsidRDefault="00917A6B" w:rsidP="00917A6B">
      <w:pPr>
        <w:pStyle w:val="I-POINT"/>
        <w:rPr>
          <w:rFonts w:eastAsia="Calibri Light"/>
        </w:rPr>
      </w:pPr>
      <w:r w:rsidRPr="00173D33">
        <w:rPr>
          <w:rFonts w:eastAsia="Calibri Light"/>
        </w:rPr>
        <w:t>Results and Discussion</w:t>
      </w:r>
    </w:p>
    <w:p w14:paraId="3936F707" w14:textId="0CAFA26F" w:rsidR="00DC660D" w:rsidRPr="00322E93" w:rsidRDefault="00322E93" w:rsidP="00DC660D">
      <w:pPr>
        <w:pStyle w:val="I-POINT"/>
        <w:rPr>
          <w:lang w:val="en-US"/>
        </w:rPr>
      </w:pPr>
      <w:proofErr w:type="spellStart"/>
      <w:r>
        <w:rPr>
          <w:lang w:val="en-US"/>
        </w:rPr>
        <w:t>Statistik</w:t>
      </w:r>
      <w:proofErr w:type="spellEnd"/>
      <w:r>
        <w:rPr>
          <w:lang w:val="en-US"/>
        </w:rPr>
        <w:t xml:space="preserve"> </w:t>
      </w:r>
      <w:proofErr w:type="spellStart"/>
      <w:r>
        <w:rPr>
          <w:lang w:val="en-US"/>
        </w:rPr>
        <w:t>Deskriptif</w:t>
      </w:r>
      <w:proofErr w:type="spellEnd"/>
      <w:r>
        <w:rPr>
          <w:lang w:val="en-US"/>
        </w:rPr>
        <w:t xml:space="preserve"> dan </w:t>
      </w:r>
      <w:proofErr w:type="spellStart"/>
      <w:r>
        <w:rPr>
          <w:lang w:val="en-US"/>
        </w:rPr>
        <w:t>Korelasi</w:t>
      </w:r>
      <w:proofErr w:type="spellEnd"/>
    </w:p>
    <w:p w14:paraId="389E40F0" w14:textId="29D8A007" w:rsidR="009B3DA6" w:rsidRDefault="009B3DA6" w:rsidP="009B3DA6">
      <w:pPr>
        <w:pStyle w:val="ISI"/>
        <w:ind w:firstLine="426"/>
        <w:rPr>
          <w:lang w:val="en-US"/>
        </w:rPr>
      </w:pPr>
      <w:r w:rsidRPr="009B3DA6">
        <w:rPr>
          <w:lang w:val="en-US"/>
        </w:rPr>
        <w:t xml:space="preserve">Table 1. shows descriptive statistics, which show the minimum and maximum values of each variable, including returns on assets, namely 0.00 and 0.03, return on equity are -0.01 and 0.22, intellectual capital is 0.17 and 5.30, </w:t>
      </w:r>
      <w:r>
        <w:rPr>
          <w:lang w:val="en-US"/>
        </w:rPr>
        <w:t>Z</w:t>
      </w:r>
      <w:r w:rsidRPr="009B3DA6">
        <w:rPr>
          <w:lang w:val="en-US"/>
        </w:rPr>
        <w:t>akat performing ratio is 0.10 and 0.99, and third-party funds are 0.00 and 33.85</w:t>
      </w:r>
      <w:r>
        <w:rPr>
          <w:lang w:val="en-US"/>
        </w:rPr>
        <w:t>.</w:t>
      </w:r>
    </w:p>
    <w:p w14:paraId="7D898D18" w14:textId="77777777" w:rsidR="009B3DA6" w:rsidRDefault="009B3DA6" w:rsidP="00BF5210">
      <w:pPr>
        <w:pStyle w:val="ISI"/>
        <w:ind w:firstLine="0"/>
        <w:rPr>
          <w:lang w:val="en-US"/>
        </w:rPr>
      </w:pPr>
    </w:p>
    <w:p w14:paraId="52FD7D16" w14:textId="27DF326D" w:rsidR="000F3E00" w:rsidRPr="002F7440" w:rsidRDefault="000F3E00" w:rsidP="00322E93">
      <w:pPr>
        <w:pStyle w:val="ISI"/>
        <w:ind w:firstLine="0"/>
        <w:rPr>
          <w:rFonts w:asciiTheme="minorHAnsi" w:hAnsiTheme="minorHAnsi" w:cstheme="minorHAnsi"/>
          <w:b/>
          <w:bCs/>
          <w:sz w:val="20"/>
          <w:szCs w:val="20"/>
          <w:lang w:val="en-US"/>
        </w:rPr>
      </w:pPr>
      <w:r w:rsidRPr="002F7440">
        <w:rPr>
          <w:rFonts w:asciiTheme="minorHAnsi" w:hAnsiTheme="minorHAnsi" w:cstheme="minorHAnsi"/>
          <w:b/>
          <w:bCs/>
          <w:sz w:val="20"/>
          <w:szCs w:val="20"/>
          <w:lang w:val="en-US"/>
        </w:rPr>
        <w:t>Table 1. Descriptive Statistics Test Result</w:t>
      </w:r>
    </w:p>
    <w:tbl>
      <w:tblPr>
        <w:tblW w:w="6663" w:type="dxa"/>
        <w:tblInd w:w="100" w:type="dxa"/>
        <w:tblLayout w:type="fixed"/>
        <w:tblCellMar>
          <w:left w:w="0" w:type="dxa"/>
          <w:right w:w="0" w:type="dxa"/>
        </w:tblCellMar>
        <w:tblLook w:val="04A0" w:firstRow="1" w:lastRow="0" w:firstColumn="1" w:lastColumn="0" w:noHBand="0" w:noVBand="1"/>
      </w:tblPr>
      <w:tblGrid>
        <w:gridCol w:w="2340"/>
        <w:gridCol w:w="620"/>
        <w:gridCol w:w="800"/>
        <w:gridCol w:w="720"/>
        <w:gridCol w:w="982"/>
        <w:gridCol w:w="1201"/>
      </w:tblGrid>
      <w:tr w:rsidR="008515C4" w:rsidRPr="003348F5" w14:paraId="2D99C2A7" w14:textId="77777777" w:rsidTr="00271D3C">
        <w:tc>
          <w:tcPr>
            <w:tcW w:w="2340" w:type="dxa"/>
            <w:tcBorders>
              <w:top w:val="single" w:sz="2" w:space="0" w:color="000000"/>
              <w:bottom w:val="single" w:sz="2" w:space="0" w:color="000000"/>
            </w:tcBorders>
            <w:shd w:val="clear" w:color="auto" w:fill="auto"/>
            <w:tcMar>
              <w:left w:w="100" w:type="dxa"/>
              <w:right w:w="100" w:type="dxa"/>
            </w:tcMar>
          </w:tcPr>
          <w:p w14:paraId="19469600" w14:textId="77777777" w:rsidR="008515C4" w:rsidRPr="003348F5" w:rsidRDefault="008515C4" w:rsidP="00271D3C">
            <w:pPr>
              <w:pStyle w:val="NormalWeb"/>
              <w:spacing w:before="40" w:beforeAutospacing="0" w:after="40" w:afterAutospacing="0" w:line="240" w:lineRule="auto"/>
              <w:contextualSpacing/>
              <w:jc w:val="center"/>
              <w:rPr>
                <w:rFonts w:cs="Calibri"/>
                <w:sz w:val="18"/>
                <w:szCs w:val="18"/>
              </w:rPr>
            </w:pPr>
            <w:bookmarkStart w:id="2" w:name="OLE_LINK3"/>
            <w:r w:rsidRPr="003348F5">
              <w:rPr>
                <w:rFonts w:eastAsia="Calibri Light" w:cs="Calibri"/>
                <w:b/>
                <w:sz w:val="18"/>
                <w:szCs w:val="18"/>
              </w:rPr>
              <w:t>Variable</w:t>
            </w:r>
          </w:p>
        </w:tc>
        <w:tc>
          <w:tcPr>
            <w:tcW w:w="620" w:type="dxa"/>
            <w:tcBorders>
              <w:top w:val="single" w:sz="2" w:space="0" w:color="000000"/>
              <w:bottom w:val="single" w:sz="2" w:space="0" w:color="000000"/>
            </w:tcBorders>
            <w:shd w:val="clear" w:color="auto" w:fill="auto"/>
            <w:tcMar>
              <w:left w:w="100" w:type="dxa"/>
              <w:right w:w="100" w:type="dxa"/>
            </w:tcMar>
          </w:tcPr>
          <w:p w14:paraId="43F54E8C" w14:textId="77777777" w:rsidR="008515C4" w:rsidRPr="003348F5" w:rsidRDefault="008515C4" w:rsidP="00271D3C">
            <w:pPr>
              <w:pStyle w:val="NormalWeb"/>
              <w:spacing w:before="40" w:beforeAutospacing="0" w:after="40" w:afterAutospacing="0" w:line="240" w:lineRule="auto"/>
              <w:contextualSpacing/>
              <w:jc w:val="center"/>
              <w:rPr>
                <w:rFonts w:cs="Calibri"/>
                <w:sz w:val="18"/>
                <w:szCs w:val="18"/>
              </w:rPr>
            </w:pPr>
            <w:r w:rsidRPr="003348F5">
              <w:rPr>
                <w:rFonts w:eastAsia="Calibri Light" w:cs="Calibri"/>
                <w:b/>
                <w:sz w:val="18"/>
                <w:szCs w:val="18"/>
              </w:rPr>
              <w:t>N</w:t>
            </w:r>
          </w:p>
        </w:tc>
        <w:tc>
          <w:tcPr>
            <w:tcW w:w="800" w:type="dxa"/>
            <w:tcBorders>
              <w:top w:val="single" w:sz="2" w:space="0" w:color="000000"/>
              <w:bottom w:val="single" w:sz="2" w:space="0" w:color="000000"/>
            </w:tcBorders>
            <w:shd w:val="clear" w:color="auto" w:fill="auto"/>
            <w:tcMar>
              <w:left w:w="100" w:type="dxa"/>
              <w:right w:w="100" w:type="dxa"/>
            </w:tcMar>
          </w:tcPr>
          <w:p w14:paraId="34D334D1" w14:textId="77777777" w:rsidR="008515C4" w:rsidRPr="003348F5" w:rsidRDefault="008515C4" w:rsidP="00271D3C">
            <w:pPr>
              <w:pStyle w:val="NormalWeb"/>
              <w:spacing w:before="40" w:beforeAutospacing="0" w:after="40" w:afterAutospacing="0" w:line="240" w:lineRule="auto"/>
              <w:contextualSpacing/>
              <w:jc w:val="center"/>
              <w:rPr>
                <w:rFonts w:cs="Calibri"/>
                <w:sz w:val="18"/>
                <w:szCs w:val="18"/>
              </w:rPr>
            </w:pPr>
            <w:r w:rsidRPr="003348F5">
              <w:rPr>
                <w:rFonts w:eastAsia="Calibri Light" w:cs="Calibri"/>
                <w:b/>
                <w:sz w:val="18"/>
                <w:szCs w:val="18"/>
              </w:rPr>
              <w:t>Min</w:t>
            </w:r>
          </w:p>
        </w:tc>
        <w:tc>
          <w:tcPr>
            <w:tcW w:w="720" w:type="dxa"/>
            <w:tcBorders>
              <w:top w:val="single" w:sz="2" w:space="0" w:color="000000"/>
              <w:bottom w:val="single" w:sz="2" w:space="0" w:color="000000"/>
            </w:tcBorders>
            <w:shd w:val="clear" w:color="auto" w:fill="auto"/>
            <w:tcMar>
              <w:left w:w="100" w:type="dxa"/>
              <w:right w:w="100" w:type="dxa"/>
            </w:tcMar>
          </w:tcPr>
          <w:p w14:paraId="259DF53E" w14:textId="77777777" w:rsidR="008515C4" w:rsidRPr="003348F5" w:rsidRDefault="008515C4" w:rsidP="00271D3C">
            <w:pPr>
              <w:pStyle w:val="NormalWeb"/>
              <w:spacing w:before="40" w:beforeAutospacing="0" w:after="40" w:afterAutospacing="0" w:line="240" w:lineRule="auto"/>
              <w:contextualSpacing/>
              <w:jc w:val="center"/>
              <w:rPr>
                <w:rFonts w:cs="Calibri"/>
                <w:sz w:val="18"/>
                <w:szCs w:val="18"/>
              </w:rPr>
            </w:pPr>
            <w:r w:rsidRPr="003348F5">
              <w:rPr>
                <w:rFonts w:eastAsia="Calibri Light" w:cs="Calibri"/>
                <w:b/>
                <w:sz w:val="18"/>
                <w:szCs w:val="18"/>
              </w:rPr>
              <w:t>Max</w:t>
            </w:r>
          </w:p>
        </w:tc>
        <w:tc>
          <w:tcPr>
            <w:tcW w:w="982" w:type="dxa"/>
            <w:tcBorders>
              <w:top w:val="single" w:sz="2" w:space="0" w:color="000000"/>
              <w:bottom w:val="single" w:sz="2" w:space="0" w:color="000000"/>
            </w:tcBorders>
            <w:shd w:val="clear" w:color="auto" w:fill="auto"/>
            <w:tcMar>
              <w:left w:w="100" w:type="dxa"/>
              <w:right w:w="100" w:type="dxa"/>
            </w:tcMar>
          </w:tcPr>
          <w:p w14:paraId="37D611A8" w14:textId="77777777" w:rsidR="008515C4" w:rsidRPr="003348F5" w:rsidRDefault="008515C4" w:rsidP="00271D3C">
            <w:pPr>
              <w:pStyle w:val="NormalWeb"/>
              <w:spacing w:before="40" w:beforeAutospacing="0" w:after="40" w:afterAutospacing="0" w:line="240" w:lineRule="auto"/>
              <w:contextualSpacing/>
              <w:jc w:val="center"/>
              <w:rPr>
                <w:rFonts w:cs="Calibri"/>
                <w:sz w:val="18"/>
                <w:szCs w:val="18"/>
              </w:rPr>
            </w:pPr>
            <w:r w:rsidRPr="003348F5">
              <w:rPr>
                <w:rFonts w:eastAsia="Calibri Light" w:cs="Calibri"/>
                <w:b/>
                <w:sz w:val="18"/>
                <w:szCs w:val="18"/>
              </w:rPr>
              <w:t>Mean</w:t>
            </w:r>
          </w:p>
        </w:tc>
        <w:tc>
          <w:tcPr>
            <w:tcW w:w="1201" w:type="dxa"/>
            <w:tcBorders>
              <w:top w:val="single" w:sz="2" w:space="0" w:color="000000"/>
              <w:bottom w:val="single" w:sz="2" w:space="0" w:color="000000"/>
            </w:tcBorders>
            <w:shd w:val="clear" w:color="auto" w:fill="auto"/>
            <w:tcMar>
              <w:left w:w="100" w:type="dxa"/>
              <w:right w:w="100" w:type="dxa"/>
            </w:tcMar>
          </w:tcPr>
          <w:p w14:paraId="2A703479" w14:textId="77777777" w:rsidR="008515C4" w:rsidRPr="003348F5" w:rsidRDefault="008515C4" w:rsidP="00271D3C">
            <w:pPr>
              <w:pStyle w:val="NormalWeb"/>
              <w:spacing w:before="40" w:beforeAutospacing="0" w:after="40" w:afterAutospacing="0" w:line="240" w:lineRule="auto"/>
              <w:contextualSpacing/>
              <w:jc w:val="center"/>
              <w:rPr>
                <w:rFonts w:cs="Calibri"/>
                <w:sz w:val="18"/>
                <w:szCs w:val="18"/>
              </w:rPr>
            </w:pPr>
            <w:r w:rsidRPr="003348F5">
              <w:rPr>
                <w:rFonts w:eastAsia="Calibri Light" w:cs="Calibri"/>
                <w:b/>
                <w:sz w:val="18"/>
                <w:szCs w:val="18"/>
              </w:rPr>
              <w:t>Std.</w:t>
            </w:r>
            <w:r w:rsidRPr="003348F5">
              <w:rPr>
                <w:rFonts w:cs="Calibri"/>
                <w:sz w:val="18"/>
                <w:szCs w:val="18"/>
              </w:rPr>
              <w:t> </w:t>
            </w:r>
            <w:r w:rsidRPr="003348F5">
              <w:rPr>
                <w:rFonts w:eastAsia="Calibri Light" w:cs="Calibri"/>
                <w:b/>
                <w:sz w:val="18"/>
                <w:szCs w:val="18"/>
              </w:rPr>
              <w:t>Dev</w:t>
            </w:r>
          </w:p>
        </w:tc>
      </w:tr>
      <w:tr w:rsidR="008515C4" w:rsidRPr="003348F5" w14:paraId="735A8DFB" w14:textId="77777777" w:rsidTr="00271D3C">
        <w:tc>
          <w:tcPr>
            <w:tcW w:w="2340" w:type="dxa"/>
            <w:tcBorders>
              <w:top w:val="single" w:sz="2" w:space="0" w:color="000000"/>
            </w:tcBorders>
            <w:shd w:val="clear" w:color="auto" w:fill="auto"/>
            <w:tcMar>
              <w:left w:w="100" w:type="dxa"/>
              <w:right w:w="100" w:type="dxa"/>
            </w:tcMar>
          </w:tcPr>
          <w:p w14:paraId="7ECD3916" w14:textId="36D5FBEC" w:rsidR="008515C4" w:rsidRPr="008515C4" w:rsidRDefault="008515C4" w:rsidP="00271D3C">
            <w:pPr>
              <w:pStyle w:val="NormalWeb"/>
              <w:spacing w:before="40" w:beforeAutospacing="0" w:after="40" w:afterAutospacing="0" w:line="240" w:lineRule="auto"/>
              <w:contextualSpacing/>
              <w:rPr>
                <w:rFonts w:cs="Calibri"/>
                <w:sz w:val="18"/>
                <w:szCs w:val="18"/>
                <w:lang w:val="en-US"/>
              </w:rPr>
            </w:pPr>
            <w:r>
              <w:rPr>
                <w:rFonts w:eastAsia="Calibri Light" w:cs="Calibri"/>
                <w:sz w:val="18"/>
                <w:szCs w:val="18"/>
                <w:lang w:val="en-US"/>
              </w:rPr>
              <w:t>ROA</w:t>
            </w:r>
          </w:p>
        </w:tc>
        <w:tc>
          <w:tcPr>
            <w:tcW w:w="620" w:type="dxa"/>
            <w:tcBorders>
              <w:top w:val="single" w:sz="2" w:space="0" w:color="000000"/>
            </w:tcBorders>
            <w:shd w:val="clear" w:color="auto" w:fill="auto"/>
            <w:tcMar>
              <w:left w:w="100" w:type="dxa"/>
              <w:right w:w="100" w:type="dxa"/>
            </w:tcMar>
          </w:tcPr>
          <w:p w14:paraId="2213F894" w14:textId="37466A58" w:rsidR="008515C4" w:rsidRPr="008515C4" w:rsidRDefault="008515C4" w:rsidP="00271D3C">
            <w:pPr>
              <w:pStyle w:val="NormalWeb"/>
              <w:spacing w:before="40" w:beforeAutospacing="0" w:after="40" w:afterAutospacing="0" w:line="240" w:lineRule="auto"/>
              <w:contextualSpacing/>
              <w:jc w:val="center"/>
              <w:rPr>
                <w:rFonts w:cs="Calibri"/>
                <w:sz w:val="18"/>
                <w:szCs w:val="18"/>
                <w:lang w:val="en-US"/>
              </w:rPr>
            </w:pPr>
            <w:r>
              <w:rPr>
                <w:rFonts w:eastAsia="Calibri Light" w:cs="Calibri"/>
                <w:sz w:val="18"/>
                <w:szCs w:val="18"/>
                <w:lang w:val="en-US"/>
              </w:rPr>
              <w:t>77</w:t>
            </w:r>
          </w:p>
        </w:tc>
        <w:tc>
          <w:tcPr>
            <w:tcW w:w="800" w:type="dxa"/>
            <w:tcBorders>
              <w:top w:val="single" w:sz="2" w:space="0" w:color="000000"/>
            </w:tcBorders>
            <w:shd w:val="clear" w:color="auto" w:fill="auto"/>
            <w:tcMar>
              <w:left w:w="100" w:type="dxa"/>
              <w:right w:w="100" w:type="dxa"/>
            </w:tcMar>
          </w:tcPr>
          <w:p w14:paraId="73341BB5" w14:textId="184313E0" w:rsidR="008515C4" w:rsidRPr="008515C4" w:rsidRDefault="008515C4"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0.00</w:t>
            </w:r>
          </w:p>
        </w:tc>
        <w:tc>
          <w:tcPr>
            <w:tcW w:w="720" w:type="dxa"/>
            <w:tcBorders>
              <w:top w:val="single" w:sz="2" w:space="0" w:color="000000"/>
            </w:tcBorders>
            <w:shd w:val="clear" w:color="auto" w:fill="auto"/>
            <w:tcMar>
              <w:left w:w="100" w:type="dxa"/>
              <w:right w:w="100" w:type="dxa"/>
            </w:tcMar>
          </w:tcPr>
          <w:p w14:paraId="3117D5B5" w14:textId="5701D525" w:rsidR="008515C4" w:rsidRPr="008515C4" w:rsidRDefault="008515C4"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0.03</w:t>
            </w:r>
          </w:p>
        </w:tc>
        <w:tc>
          <w:tcPr>
            <w:tcW w:w="982" w:type="dxa"/>
            <w:tcBorders>
              <w:top w:val="single" w:sz="2" w:space="0" w:color="000000"/>
            </w:tcBorders>
            <w:shd w:val="clear" w:color="auto" w:fill="auto"/>
            <w:tcMar>
              <w:left w:w="100" w:type="dxa"/>
              <w:right w:w="100" w:type="dxa"/>
            </w:tcMar>
          </w:tcPr>
          <w:p w14:paraId="7A6E4A68" w14:textId="12A2FC1B" w:rsidR="008515C4" w:rsidRPr="007078D9" w:rsidRDefault="007078D9"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0.01</w:t>
            </w:r>
          </w:p>
        </w:tc>
        <w:tc>
          <w:tcPr>
            <w:tcW w:w="1201" w:type="dxa"/>
            <w:tcBorders>
              <w:top w:val="single" w:sz="2" w:space="0" w:color="000000"/>
            </w:tcBorders>
            <w:shd w:val="clear" w:color="auto" w:fill="auto"/>
            <w:tcMar>
              <w:left w:w="100" w:type="dxa"/>
              <w:right w:w="100" w:type="dxa"/>
            </w:tcMar>
          </w:tcPr>
          <w:p w14:paraId="742966D2" w14:textId="13F40B40" w:rsidR="008515C4" w:rsidRPr="007078D9" w:rsidRDefault="007078D9"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0.01</w:t>
            </w:r>
          </w:p>
        </w:tc>
      </w:tr>
      <w:tr w:rsidR="008515C4" w:rsidRPr="003348F5" w14:paraId="49197E7B" w14:textId="77777777" w:rsidTr="00271D3C">
        <w:tc>
          <w:tcPr>
            <w:tcW w:w="2340" w:type="dxa"/>
            <w:shd w:val="clear" w:color="auto" w:fill="auto"/>
            <w:tcMar>
              <w:left w:w="100" w:type="dxa"/>
              <w:right w:w="100" w:type="dxa"/>
            </w:tcMar>
          </w:tcPr>
          <w:p w14:paraId="7405D496" w14:textId="5DE7ACBE" w:rsidR="008515C4" w:rsidRPr="008515C4" w:rsidRDefault="008515C4"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ROE</w:t>
            </w:r>
          </w:p>
        </w:tc>
        <w:tc>
          <w:tcPr>
            <w:tcW w:w="620" w:type="dxa"/>
            <w:shd w:val="clear" w:color="auto" w:fill="auto"/>
            <w:tcMar>
              <w:left w:w="100" w:type="dxa"/>
              <w:right w:w="100" w:type="dxa"/>
            </w:tcMar>
          </w:tcPr>
          <w:p w14:paraId="1EB968D1" w14:textId="239B1DA2" w:rsidR="008515C4" w:rsidRPr="008515C4" w:rsidRDefault="008515C4" w:rsidP="00271D3C">
            <w:pPr>
              <w:pStyle w:val="NormalWeb"/>
              <w:spacing w:before="40" w:beforeAutospacing="0" w:after="40" w:afterAutospacing="0" w:line="240" w:lineRule="auto"/>
              <w:contextualSpacing/>
              <w:jc w:val="center"/>
              <w:rPr>
                <w:rFonts w:cs="Calibri"/>
                <w:sz w:val="18"/>
                <w:szCs w:val="18"/>
                <w:lang w:val="en-US"/>
              </w:rPr>
            </w:pPr>
            <w:r>
              <w:rPr>
                <w:rFonts w:eastAsia="Calibri Light" w:cs="Calibri"/>
                <w:sz w:val="18"/>
                <w:szCs w:val="18"/>
                <w:lang w:val="en-US"/>
              </w:rPr>
              <w:t>77</w:t>
            </w:r>
          </w:p>
        </w:tc>
        <w:tc>
          <w:tcPr>
            <w:tcW w:w="800" w:type="dxa"/>
            <w:shd w:val="clear" w:color="auto" w:fill="auto"/>
            <w:tcMar>
              <w:left w:w="100" w:type="dxa"/>
              <w:right w:w="100" w:type="dxa"/>
            </w:tcMar>
          </w:tcPr>
          <w:p w14:paraId="49F6EA2C" w14:textId="2E12381E" w:rsidR="008515C4" w:rsidRPr="008515C4" w:rsidRDefault="008515C4"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-0.01</w:t>
            </w:r>
          </w:p>
        </w:tc>
        <w:tc>
          <w:tcPr>
            <w:tcW w:w="720" w:type="dxa"/>
            <w:shd w:val="clear" w:color="auto" w:fill="auto"/>
            <w:tcMar>
              <w:left w:w="100" w:type="dxa"/>
              <w:right w:w="100" w:type="dxa"/>
            </w:tcMar>
          </w:tcPr>
          <w:p w14:paraId="2082886E" w14:textId="06B88387" w:rsidR="008515C4" w:rsidRPr="008515C4" w:rsidRDefault="008515C4"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0.22</w:t>
            </w:r>
          </w:p>
        </w:tc>
        <w:tc>
          <w:tcPr>
            <w:tcW w:w="982" w:type="dxa"/>
            <w:shd w:val="clear" w:color="auto" w:fill="auto"/>
            <w:tcMar>
              <w:left w:w="100" w:type="dxa"/>
              <w:right w:w="100" w:type="dxa"/>
            </w:tcMar>
          </w:tcPr>
          <w:p w14:paraId="4AB8B3C2" w14:textId="742C15F5" w:rsidR="008515C4" w:rsidRPr="007078D9" w:rsidRDefault="007078D9"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0.08</w:t>
            </w:r>
          </w:p>
        </w:tc>
        <w:tc>
          <w:tcPr>
            <w:tcW w:w="1201" w:type="dxa"/>
            <w:shd w:val="clear" w:color="auto" w:fill="auto"/>
            <w:tcMar>
              <w:left w:w="100" w:type="dxa"/>
              <w:right w:w="100" w:type="dxa"/>
            </w:tcMar>
          </w:tcPr>
          <w:p w14:paraId="2AD5047A" w14:textId="39B97020" w:rsidR="008515C4" w:rsidRPr="007078D9" w:rsidRDefault="007078D9"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0.06</w:t>
            </w:r>
          </w:p>
        </w:tc>
      </w:tr>
      <w:tr w:rsidR="008515C4" w:rsidRPr="003348F5" w14:paraId="43278970" w14:textId="77777777" w:rsidTr="00271D3C">
        <w:tc>
          <w:tcPr>
            <w:tcW w:w="2340" w:type="dxa"/>
            <w:shd w:val="clear" w:color="auto" w:fill="auto"/>
            <w:tcMar>
              <w:left w:w="100" w:type="dxa"/>
              <w:right w:w="100" w:type="dxa"/>
            </w:tcMar>
          </w:tcPr>
          <w:p w14:paraId="72161D6E" w14:textId="36F0A6EB" w:rsidR="008515C4" w:rsidRPr="008515C4" w:rsidRDefault="008515C4"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IC</w:t>
            </w:r>
          </w:p>
        </w:tc>
        <w:tc>
          <w:tcPr>
            <w:tcW w:w="620" w:type="dxa"/>
            <w:shd w:val="clear" w:color="auto" w:fill="auto"/>
            <w:tcMar>
              <w:left w:w="100" w:type="dxa"/>
              <w:right w:w="100" w:type="dxa"/>
            </w:tcMar>
          </w:tcPr>
          <w:p w14:paraId="5574029D" w14:textId="593CA3FD" w:rsidR="008515C4" w:rsidRPr="008515C4" w:rsidRDefault="008515C4" w:rsidP="00271D3C">
            <w:pPr>
              <w:pStyle w:val="NormalWeb"/>
              <w:spacing w:before="40" w:beforeAutospacing="0" w:after="40" w:afterAutospacing="0" w:line="240" w:lineRule="auto"/>
              <w:contextualSpacing/>
              <w:jc w:val="center"/>
              <w:rPr>
                <w:rFonts w:cs="Calibri"/>
                <w:sz w:val="18"/>
                <w:szCs w:val="18"/>
                <w:lang w:val="en-US"/>
              </w:rPr>
            </w:pPr>
            <w:r>
              <w:rPr>
                <w:rFonts w:eastAsia="Calibri Light" w:cs="Calibri"/>
                <w:sz w:val="18"/>
                <w:szCs w:val="18"/>
                <w:lang w:val="en-US"/>
              </w:rPr>
              <w:t>77</w:t>
            </w:r>
          </w:p>
        </w:tc>
        <w:tc>
          <w:tcPr>
            <w:tcW w:w="800" w:type="dxa"/>
            <w:shd w:val="clear" w:color="auto" w:fill="auto"/>
            <w:tcMar>
              <w:left w:w="100" w:type="dxa"/>
              <w:right w:w="100" w:type="dxa"/>
            </w:tcMar>
          </w:tcPr>
          <w:p w14:paraId="5E953266" w14:textId="657648A7" w:rsidR="008515C4" w:rsidRPr="008515C4" w:rsidRDefault="008515C4"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0.17</w:t>
            </w:r>
          </w:p>
        </w:tc>
        <w:tc>
          <w:tcPr>
            <w:tcW w:w="720" w:type="dxa"/>
            <w:shd w:val="clear" w:color="auto" w:fill="auto"/>
            <w:tcMar>
              <w:left w:w="100" w:type="dxa"/>
              <w:right w:w="100" w:type="dxa"/>
            </w:tcMar>
          </w:tcPr>
          <w:p w14:paraId="1CBB6C71" w14:textId="13C3683B" w:rsidR="008515C4" w:rsidRPr="008515C4" w:rsidRDefault="008515C4"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5.30</w:t>
            </w:r>
          </w:p>
        </w:tc>
        <w:tc>
          <w:tcPr>
            <w:tcW w:w="982" w:type="dxa"/>
            <w:shd w:val="clear" w:color="auto" w:fill="auto"/>
            <w:tcMar>
              <w:left w:w="100" w:type="dxa"/>
              <w:right w:w="100" w:type="dxa"/>
            </w:tcMar>
          </w:tcPr>
          <w:p w14:paraId="5D3BE86A" w14:textId="49F7FAA0" w:rsidR="008515C4" w:rsidRPr="007078D9" w:rsidRDefault="007078D9"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2.72</w:t>
            </w:r>
          </w:p>
        </w:tc>
        <w:tc>
          <w:tcPr>
            <w:tcW w:w="1201" w:type="dxa"/>
            <w:shd w:val="clear" w:color="auto" w:fill="auto"/>
            <w:tcMar>
              <w:left w:w="100" w:type="dxa"/>
              <w:right w:w="100" w:type="dxa"/>
            </w:tcMar>
          </w:tcPr>
          <w:p w14:paraId="5E5021A4" w14:textId="496D2F0D" w:rsidR="008515C4" w:rsidRPr="007078D9" w:rsidRDefault="007078D9"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0.94</w:t>
            </w:r>
          </w:p>
        </w:tc>
      </w:tr>
      <w:tr w:rsidR="008515C4" w:rsidRPr="003348F5" w14:paraId="671943A1" w14:textId="77777777" w:rsidTr="00271D3C">
        <w:tc>
          <w:tcPr>
            <w:tcW w:w="2340" w:type="dxa"/>
            <w:shd w:val="clear" w:color="auto" w:fill="auto"/>
            <w:tcMar>
              <w:left w:w="100" w:type="dxa"/>
              <w:right w:w="100" w:type="dxa"/>
            </w:tcMar>
          </w:tcPr>
          <w:p w14:paraId="1620A4C4" w14:textId="27B05813" w:rsidR="008515C4" w:rsidRDefault="008515C4"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ZPR</w:t>
            </w:r>
          </w:p>
        </w:tc>
        <w:tc>
          <w:tcPr>
            <w:tcW w:w="620" w:type="dxa"/>
            <w:shd w:val="clear" w:color="auto" w:fill="auto"/>
            <w:tcMar>
              <w:left w:w="100" w:type="dxa"/>
              <w:right w:w="100" w:type="dxa"/>
            </w:tcMar>
          </w:tcPr>
          <w:p w14:paraId="7D5DAA92" w14:textId="76741572" w:rsidR="008515C4" w:rsidRPr="008515C4" w:rsidRDefault="008515C4"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77</w:t>
            </w:r>
          </w:p>
        </w:tc>
        <w:tc>
          <w:tcPr>
            <w:tcW w:w="800" w:type="dxa"/>
            <w:shd w:val="clear" w:color="auto" w:fill="auto"/>
            <w:tcMar>
              <w:left w:w="100" w:type="dxa"/>
              <w:right w:w="100" w:type="dxa"/>
            </w:tcMar>
          </w:tcPr>
          <w:p w14:paraId="0D65AC29" w14:textId="2F4FA008" w:rsidR="008515C4" w:rsidRPr="008515C4" w:rsidRDefault="008515C4"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0.10</w:t>
            </w:r>
          </w:p>
        </w:tc>
        <w:tc>
          <w:tcPr>
            <w:tcW w:w="720" w:type="dxa"/>
            <w:shd w:val="clear" w:color="auto" w:fill="auto"/>
            <w:tcMar>
              <w:left w:w="100" w:type="dxa"/>
              <w:right w:w="100" w:type="dxa"/>
            </w:tcMar>
          </w:tcPr>
          <w:p w14:paraId="108A63F5" w14:textId="38B3072D" w:rsidR="008515C4" w:rsidRPr="008515C4" w:rsidRDefault="008515C4"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0.99</w:t>
            </w:r>
          </w:p>
        </w:tc>
        <w:tc>
          <w:tcPr>
            <w:tcW w:w="982" w:type="dxa"/>
            <w:shd w:val="clear" w:color="auto" w:fill="auto"/>
            <w:tcMar>
              <w:left w:w="100" w:type="dxa"/>
              <w:right w:w="100" w:type="dxa"/>
            </w:tcMar>
          </w:tcPr>
          <w:p w14:paraId="28297749" w14:textId="4DB86072" w:rsidR="008515C4" w:rsidRPr="007078D9" w:rsidRDefault="007078D9"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0.38</w:t>
            </w:r>
          </w:p>
        </w:tc>
        <w:tc>
          <w:tcPr>
            <w:tcW w:w="1201" w:type="dxa"/>
            <w:shd w:val="clear" w:color="auto" w:fill="auto"/>
            <w:tcMar>
              <w:left w:w="100" w:type="dxa"/>
              <w:right w:w="100" w:type="dxa"/>
            </w:tcMar>
          </w:tcPr>
          <w:p w14:paraId="59D1F7B8" w14:textId="26CB0256" w:rsidR="008515C4" w:rsidRPr="007078D9" w:rsidRDefault="007078D9"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0.26</w:t>
            </w:r>
          </w:p>
        </w:tc>
      </w:tr>
      <w:tr w:rsidR="008515C4" w:rsidRPr="003348F5" w14:paraId="4E966414" w14:textId="77777777" w:rsidTr="00420F29">
        <w:tc>
          <w:tcPr>
            <w:tcW w:w="2340" w:type="dxa"/>
            <w:tcBorders>
              <w:bottom w:val="single" w:sz="4" w:space="0" w:color="auto"/>
            </w:tcBorders>
            <w:shd w:val="clear" w:color="auto" w:fill="auto"/>
            <w:tcMar>
              <w:left w:w="100" w:type="dxa"/>
              <w:right w:w="100" w:type="dxa"/>
            </w:tcMar>
          </w:tcPr>
          <w:p w14:paraId="4F446602" w14:textId="0ECBBCF0" w:rsidR="008515C4" w:rsidRDefault="000F3E00"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TPF</w:t>
            </w:r>
          </w:p>
        </w:tc>
        <w:tc>
          <w:tcPr>
            <w:tcW w:w="620" w:type="dxa"/>
            <w:tcBorders>
              <w:bottom w:val="single" w:sz="4" w:space="0" w:color="auto"/>
            </w:tcBorders>
            <w:shd w:val="clear" w:color="auto" w:fill="auto"/>
            <w:tcMar>
              <w:left w:w="100" w:type="dxa"/>
              <w:right w:w="100" w:type="dxa"/>
            </w:tcMar>
          </w:tcPr>
          <w:p w14:paraId="0E0A317F" w14:textId="4BB5FE7E" w:rsidR="008515C4" w:rsidRPr="008515C4" w:rsidRDefault="008515C4"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77</w:t>
            </w:r>
          </w:p>
        </w:tc>
        <w:tc>
          <w:tcPr>
            <w:tcW w:w="800" w:type="dxa"/>
            <w:tcBorders>
              <w:bottom w:val="single" w:sz="4" w:space="0" w:color="auto"/>
            </w:tcBorders>
            <w:shd w:val="clear" w:color="auto" w:fill="auto"/>
            <w:tcMar>
              <w:left w:w="100" w:type="dxa"/>
              <w:right w:w="100" w:type="dxa"/>
            </w:tcMar>
          </w:tcPr>
          <w:p w14:paraId="381995A7" w14:textId="1A09C652" w:rsidR="008515C4" w:rsidRPr="008515C4" w:rsidRDefault="008515C4"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0.00</w:t>
            </w:r>
          </w:p>
        </w:tc>
        <w:tc>
          <w:tcPr>
            <w:tcW w:w="720" w:type="dxa"/>
            <w:tcBorders>
              <w:bottom w:val="single" w:sz="4" w:space="0" w:color="auto"/>
            </w:tcBorders>
            <w:shd w:val="clear" w:color="auto" w:fill="auto"/>
            <w:tcMar>
              <w:left w:w="100" w:type="dxa"/>
              <w:right w:w="100" w:type="dxa"/>
            </w:tcMar>
          </w:tcPr>
          <w:p w14:paraId="488EEA34" w14:textId="5FAC3BF9" w:rsidR="008515C4" w:rsidRPr="008515C4" w:rsidRDefault="008515C4"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33.85</w:t>
            </w:r>
          </w:p>
        </w:tc>
        <w:tc>
          <w:tcPr>
            <w:tcW w:w="982" w:type="dxa"/>
            <w:tcBorders>
              <w:bottom w:val="single" w:sz="4" w:space="0" w:color="auto"/>
            </w:tcBorders>
            <w:shd w:val="clear" w:color="auto" w:fill="auto"/>
            <w:tcMar>
              <w:left w:w="100" w:type="dxa"/>
              <w:right w:w="100" w:type="dxa"/>
            </w:tcMar>
          </w:tcPr>
          <w:p w14:paraId="2DBBB21F" w14:textId="5B96BB33" w:rsidR="008515C4" w:rsidRPr="007078D9" w:rsidRDefault="007078D9"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27.88</w:t>
            </w:r>
          </w:p>
        </w:tc>
        <w:tc>
          <w:tcPr>
            <w:tcW w:w="1201" w:type="dxa"/>
            <w:tcBorders>
              <w:bottom w:val="single" w:sz="4" w:space="0" w:color="auto"/>
            </w:tcBorders>
            <w:shd w:val="clear" w:color="auto" w:fill="auto"/>
            <w:tcMar>
              <w:left w:w="100" w:type="dxa"/>
              <w:right w:w="100" w:type="dxa"/>
            </w:tcMar>
          </w:tcPr>
          <w:p w14:paraId="14AD11F3" w14:textId="56222E16" w:rsidR="008515C4" w:rsidRPr="007078D9" w:rsidRDefault="007078D9"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6.94</w:t>
            </w:r>
          </w:p>
        </w:tc>
      </w:tr>
      <w:tr w:rsidR="00707DFF" w:rsidRPr="003348F5" w14:paraId="48B873FF" w14:textId="77777777" w:rsidTr="00420F29">
        <w:tc>
          <w:tcPr>
            <w:tcW w:w="6663" w:type="dxa"/>
            <w:gridSpan w:val="6"/>
            <w:tcBorders>
              <w:top w:val="single" w:sz="4" w:space="0" w:color="auto"/>
              <w:bottom w:val="single" w:sz="4" w:space="0" w:color="auto"/>
            </w:tcBorders>
            <w:shd w:val="clear" w:color="auto" w:fill="auto"/>
            <w:tcMar>
              <w:left w:w="100" w:type="dxa"/>
              <w:right w:w="100" w:type="dxa"/>
            </w:tcMar>
          </w:tcPr>
          <w:p w14:paraId="78C56B76" w14:textId="304BE0B4" w:rsidR="00707DFF" w:rsidRPr="002F7440" w:rsidRDefault="00707DFF" w:rsidP="00420F29">
            <w:pPr>
              <w:pStyle w:val="NormalWeb"/>
              <w:spacing w:before="40" w:beforeAutospacing="0" w:after="40" w:afterAutospacing="0" w:line="240" w:lineRule="auto"/>
              <w:contextualSpacing/>
              <w:jc w:val="both"/>
              <w:rPr>
                <w:rFonts w:eastAsia="Calibri Light" w:cs="Calibri"/>
                <w:sz w:val="18"/>
                <w:szCs w:val="18"/>
                <w:lang w:val="en-US"/>
              </w:rPr>
            </w:pPr>
            <w:r w:rsidRPr="002F7440">
              <w:rPr>
                <w:b/>
                <w:bCs/>
                <w:sz w:val="18"/>
                <w:szCs w:val="18"/>
              </w:rPr>
              <w:t>Note</w:t>
            </w:r>
            <w:r w:rsidRPr="002F7440">
              <w:rPr>
                <w:sz w:val="18"/>
                <w:szCs w:val="18"/>
              </w:rPr>
              <w:t xml:space="preserve">s: This table presents descriptive statistics for the dependent, independent, and </w:t>
            </w:r>
            <w:r w:rsidRPr="002F7440">
              <w:rPr>
                <w:sz w:val="18"/>
                <w:szCs w:val="18"/>
                <w:lang w:val="en-US"/>
              </w:rPr>
              <w:t>moderati</w:t>
            </w:r>
            <w:r w:rsidR="002F7440" w:rsidRPr="002F7440">
              <w:rPr>
                <w:sz w:val="18"/>
                <w:szCs w:val="18"/>
                <w:lang w:val="en-US"/>
              </w:rPr>
              <w:t>ng</w:t>
            </w:r>
            <w:r w:rsidRPr="002F7440">
              <w:rPr>
                <w:sz w:val="18"/>
                <w:szCs w:val="18"/>
                <w:lang w:val="en-US"/>
              </w:rPr>
              <w:t xml:space="preserve"> </w:t>
            </w:r>
            <w:r w:rsidRPr="002F7440">
              <w:rPr>
                <w:sz w:val="18"/>
                <w:szCs w:val="18"/>
              </w:rPr>
              <w:t>variable</w:t>
            </w:r>
            <w:r w:rsidR="009B3DA6">
              <w:rPr>
                <w:sz w:val="18"/>
                <w:szCs w:val="18"/>
              </w:rPr>
              <w:t>s</w:t>
            </w:r>
            <w:r w:rsidRPr="002F7440">
              <w:rPr>
                <w:sz w:val="18"/>
                <w:szCs w:val="18"/>
              </w:rPr>
              <w:t xml:space="preserve">. The sample consists of </w:t>
            </w:r>
            <w:r w:rsidR="002F7440" w:rsidRPr="002F7440">
              <w:rPr>
                <w:sz w:val="18"/>
                <w:szCs w:val="18"/>
                <w:lang w:val="en-US"/>
              </w:rPr>
              <w:t xml:space="preserve">Islamic </w:t>
            </w:r>
            <w:r w:rsidR="009B3DA6">
              <w:rPr>
                <w:sz w:val="18"/>
                <w:szCs w:val="18"/>
                <w:lang w:val="en-US"/>
              </w:rPr>
              <w:t>Banks</w:t>
            </w:r>
            <w:r w:rsidR="002F7440" w:rsidRPr="002F7440">
              <w:rPr>
                <w:sz w:val="18"/>
                <w:szCs w:val="18"/>
                <w:lang w:val="en-US"/>
              </w:rPr>
              <w:t xml:space="preserve"> </w:t>
            </w:r>
            <w:r w:rsidRPr="002F7440">
              <w:rPr>
                <w:sz w:val="18"/>
                <w:szCs w:val="18"/>
              </w:rPr>
              <w:t>listed on the Indonesia Stock Exchange from 201</w:t>
            </w:r>
            <w:r w:rsidR="002F7440" w:rsidRPr="002F7440">
              <w:rPr>
                <w:sz w:val="18"/>
                <w:szCs w:val="18"/>
                <w:lang w:val="en-US"/>
              </w:rPr>
              <w:t>4</w:t>
            </w:r>
            <w:r w:rsidRPr="002F7440">
              <w:rPr>
                <w:sz w:val="18"/>
                <w:szCs w:val="18"/>
              </w:rPr>
              <w:t xml:space="preserve"> to 20</w:t>
            </w:r>
            <w:r w:rsidR="002F7440" w:rsidRPr="002F7440">
              <w:rPr>
                <w:sz w:val="18"/>
                <w:szCs w:val="18"/>
                <w:lang w:val="en-US"/>
              </w:rPr>
              <w:t>20</w:t>
            </w:r>
            <w:r w:rsidRPr="002F7440">
              <w:rPr>
                <w:sz w:val="18"/>
                <w:szCs w:val="18"/>
              </w:rPr>
              <w:t>.</w:t>
            </w:r>
          </w:p>
        </w:tc>
      </w:tr>
      <w:bookmarkEnd w:id="2"/>
    </w:tbl>
    <w:p w14:paraId="381999E5" w14:textId="77777777" w:rsidR="009B3DA6" w:rsidRDefault="009B3DA6" w:rsidP="00707DFF">
      <w:pPr>
        <w:pStyle w:val="ISI"/>
        <w:ind w:firstLine="426"/>
        <w:rPr>
          <w:lang w:val="en-US"/>
        </w:rPr>
      </w:pPr>
    </w:p>
    <w:p w14:paraId="256F5D73" w14:textId="69F838EC" w:rsidR="002F7440" w:rsidRDefault="009B3DA6" w:rsidP="00707DFF">
      <w:pPr>
        <w:pStyle w:val="ISI"/>
        <w:ind w:firstLine="426"/>
        <w:rPr>
          <w:lang w:val="en-US"/>
        </w:rPr>
      </w:pPr>
      <w:r w:rsidRPr="009B3DA6">
        <w:rPr>
          <w:lang w:val="en-US"/>
        </w:rPr>
        <w:t>Table 2 shows the Pearson correlation test, showing a positive correlation between intellectual capital and return on assets, with a significance value of 1%. Likewise, there is a positive correlation between intellectual capital and return on equity, with a significance value of 1%.</w:t>
      </w:r>
    </w:p>
    <w:p w14:paraId="5D4EC7D4" w14:textId="77777777" w:rsidR="002F7440" w:rsidRPr="00707DFF" w:rsidRDefault="002F7440" w:rsidP="009B3DA6">
      <w:pPr>
        <w:pStyle w:val="ISI"/>
        <w:ind w:firstLine="0"/>
        <w:rPr>
          <w:i/>
          <w:iCs/>
          <w:lang w:val="en-US"/>
        </w:rPr>
      </w:pPr>
    </w:p>
    <w:p w14:paraId="1A5D0DDD" w14:textId="7F1D1CDC" w:rsidR="00240B49" w:rsidRPr="002F7440" w:rsidRDefault="00240B49" w:rsidP="00240B49">
      <w:pPr>
        <w:pStyle w:val="ISI"/>
        <w:ind w:firstLine="0"/>
        <w:rPr>
          <w:rFonts w:ascii="Calibri" w:hAnsi="Calibri" w:cs="Calibri"/>
          <w:b/>
          <w:bCs/>
          <w:sz w:val="20"/>
          <w:szCs w:val="20"/>
          <w:lang w:val="en-US"/>
        </w:rPr>
      </w:pPr>
      <w:r w:rsidRPr="002F7440">
        <w:rPr>
          <w:rFonts w:ascii="Calibri" w:hAnsi="Calibri" w:cs="Calibri"/>
          <w:b/>
          <w:bCs/>
          <w:sz w:val="20"/>
          <w:szCs w:val="20"/>
          <w:lang w:val="en-US"/>
        </w:rPr>
        <w:t xml:space="preserve">Table </w:t>
      </w:r>
      <w:r w:rsidR="00707DFF" w:rsidRPr="002F7440">
        <w:rPr>
          <w:rFonts w:ascii="Calibri" w:hAnsi="Calibri" w:cs="Calibri"/>
          <w:b/>
          <w:bCs/>
          <w:sz w:val="20"/>
          <w:szCs w:val="20"/>
          <w:lang w:val="en-US"/>
        </w:rPr>
        <w:t>2</w:t>
      </w:r>
      <w:r w:rsidRPr="002F7440">
        <w:rPr>
          <w:rFonts w:ascii="Calibri" w:hAnsi="Calibri" w:cs="Calibri"/>
          <w:b/>
          <w:bCs/>
          <w:sz w:val="20"/>
          <w:szCs w:val="20"/>
          <w:lang w:val="en-US"/>
        </w:rPr>
        <w:t>. Pearson Correlation</w:t>
      </w:r>
    </w:p>
    <w:tbl>
      <w:tblPr>
        <w:tblW w:w="6630" w:type="dxa"/>
        <w:tblInd w:w="100" w:type="dxa"/>
        <w:tblLayout w:type="fixed"/>
        <w:tblCellMar>
          <w:left w:w="0" w:type="dxa"/>
          <w:right w:w="0" w:type="dxa"/>
        </w:tblCellMar>
        <w:tblLook w:val="04A0" w:firstRow="1" w:lastRow="0" w:firstColumn="1" w:lastColumn="0" w:noHBand="0" w:noVBand="1"/>
      </w:tblPr>
      <w:tblGrid>
        <w:gridCol w:w="2340"/>
        <w:gridCol w:w="821"/>
        <w:gridCol w:w="800"/>
        <w:gridCol w:w="720"/>
        <w:gridCol w:w="748"/>
        <w:gridCol w:w="1201"/>
      </w:tblGrid>
      <w:tr w:rsidR="00240B49" w:rsidRPr="003348F5" w14:paraId="1F057EFD" w14:textId="77777777" w:rsidTr="00240B49">
        <w:tc>
          <w:tcPr>
            <w:tcW w:w="2340" w:type="dxa"/>
            <w:tcBorders>
              <w:top w:val="single" w:sz="2" w:space="0" w:color="000000"/>
              <w:bottom w:val="single" w:sz="2" w:space="0" w:color="000000"/>
            </w:tcBorders>
            <w:shd w:val="clear" w:color="auto" w:fill="auto"/>
            <w:tcMar>
              <w:left w:w="100" w:type="dxa"/>
              <w:right w:w="100" w:type="dxa"/>
            </w:tcMar>
          </w:tcPr>
          <w:p w14:paraId="21E35621" w14:textId="77777777" w:rsidR="00240B49" w:rsidRPr="003348F5" w:rsidRDefault="00240B49" w:rsidP="00271D3C">
            <w:pPr>
              <w:pStyle w:val="NormalWeb"/>
              <w:spacing w:before="40" w:beforeAutospacing="0" w:after="40" w:afterAutospacing="0" w:line="240" w:lineRule="auto"/>
              <w:contextualSpacing/>
              <w:jc w:val="center"/>
              <w:rPr>
                <w:rFonts w:cs="Calibri"/>
                <w:sz w:val="18"/>
                <w:szCs w:val="18"/>
              </w:rPr>
            </w:pPr>
            <w:r w:rsidRPr="003348F5">
              <w:rPr>
                <w:rFonts w:eastAsia="Calibri Light" w:cs="Calibri"/>
                <w:b/>
                <w:sz w:val="18"/>
                <w:szCs w:val="18"/>
              </w:rPr>
              <w:t>Variable</w:t>
            </w:r>
          </w:p>
        </w:tc>
        <w:tc>
          <w:tcPr>
            <w:tcW w:w="821" w:type="dxa"/>
            <w:tcBorders>
              <w:top w:val="single" w:sz="2" w:space="0" w:color="000000"/>
              <w:bottom w:val="single" w:sz="2" w:space="0" w:color="000000"/>
            </w:tcBorders>
            <w:shd w:val="clear" w:color="auto" w:fill="auto"/>
            <w:tcMar>
              <w:left w:w="100" w:type="dxa"/>
              <w:right w:w="100" w:type="dxa"/>
            </w:tcMar>
          </w:tcPr>
          <w:p w14:paraId="296BF7B2" w14:textId="6A9D1AB3" w:rsidR="00240B49" w:rsidRPr="00240B49" w:rsidRDefault="00240B49" w:rsidP="00271D3C">
            <w:pPr>
              <w:pStyle w:val="NormalWeb"/>
              <w:spacing w:before="40" w:beforeAutospacing="0" w:after="40" w:afterAutospacing="0" w:line="240" w:lineRule="auto"/>
              <w:contextualSpacing/>
              <w:jc w:val="center"/>
              <w:rPr>
                <w:rFonts w:cs="Calibri"/>
                <w:sz w:val="18"/>
                <w:szCs w:val="18"/>
                <w:lang w:val="en-US"/>
              </w:rPr>
            </w:pPr>
            <w:r>
              <w:rPr>
                <w:rFonts w:eastAsia="Calibri Light" w:cs="Calibri"/>
                <w:b/>
                <w:sz w:val="18"/>
                <w:szCs w:val="18"/>
                <w:lang w:val="en-US"/>
              </w:rPr>
              <w:t>ROA</w:t>
            </w:r>
          </w:p>
        </w:tc>
        <w:tc>
          <w:tcPr>
            <w:tcW w:w="800" w:type="dxa"/>
            <w:tcBorders>
              <w:top w:val="single" w:sz="2" w:space="0" w:color="000000"/>
              <w:bottom w:val="single" w:sz="2" w:space="0" w:color="000000"/>
            </w:tcBorders>
            <w:shd w:val="clear" w:color="auto" w:fill="auto"/>
            <w:tcMar>
              <w:left w:w="100" w:type="dxa"/>
              <w:right w:w="100" w:type="dxa"/>
            </w:tcMar>
          </w:tcPr>
          <w:p w14:paraId="2E0A3AFC" w14:textId="03FF310A" w:rsidR="00240B49" w:rsidRPr="00240B49" w:rsidRDefault="00240B49" w:rsidP="00271D3C">
            <w:pPr>
              <w:pStyle w:val="NormalWeb"/>
              <w:spacing w:before="40" w:beforeAutospacing="0" w:after="40" w:afterAutospacing="0" w:line="240" w:lineRule="auto"/>
              <w:contextualSpacing/>
              <w:jc w:val="center"/>
              <w:rPr>
                <w:rFonts w:cs="Calibri"/>
                <w:sz w:val="18"/>
                <w:szCs w:val="18"/>
                <w:lang w:val="en-US"/>
              </w:rPr>
            </w:pPr>
            <w:r>
              <w:rPr>
                <w:rFonts w:eastAsia="Calibri Light" w:cs="Calibri"/>
                <w:b/>
                <w:sz w:val="18"/>
                <w:szCs w:val="18"/>
                <w:lang w:val="en-US"/>
              </w:rPr>
              <w:t>ROE</w:t>
            </w:r>
          </w:p>
        </w:tc>
        <w:tc>
          <w:tcPr>
            <w:tcW w:w="720" w:type="dxa"/>
            <w:tcBorders>
              <w:top w:val="single" w:sz="2" w:space="0" w:color="000000"/>
              <w:bottom w:val="single" w:sz="2" w:space="0" w:color="000000"/>
            </w:tcBorders>
            <w:shd w:val="clear" w:color="auto" w:fill="auto"/>
            <w:tcMar>
              <w:left w:w="100" w:type="dxa"/>
              <w:right w:w="100" w:type="dxa"/>
            </w:tcMar>
          </w:tcPr>
          <w:p w14:paraId="5985AEC9" w14:textId="67B0755A" w:rsidR="00240B49" w:rsidRPr="00240B49" w:rsidRDefault="00240B49" w:rsidP="00271D3C">
            <w:pPr>
              <w:pStyle w:val="NormalWeb"/>
              <w:spacing w:before="40" w:beforeAutospacing="0" w:after="40" w:afterAutospacing="0" w:line="240" w:lineRule="auto"/>
              <w:contextualSpacing/>
              <w:jc w:val="center"/>
              <w:rPr>
                <w:rFonts w:cs="Calibri"/>
                <w:sz w:val="18"/>
                <w:szCs w:val="18"/>
                <w:lang w:val="en-US"/>
              </w:rPr>
            </w:pPr>
            <w:r>
              <w:rPr>
                <w:rFonts w:eastAsia="Calibri Light" w:cs="Calibri"/>
                <w:b/>
                <w:sz w:val="18"/>
                <w:szCs w:val="18"/>
                <w:lang w:val="en-US"/>
              </w:rPr>
              <w:t>IC</w:t>
            </w:r>
          </w:p>
        </w:tc>
        <w:tc>
          <w:tcPr>
            <w:tcW w:w="748" w:type="dxa"/>
            <w:tcBorders>
              <w:top w:val="single" w:sz="2" w:space="0" w:color="000000"/>
              <w:bottom w:val="single" w:sz="2" w:space="0" w:color="000000"/>
            </w:tcBorders>
            <w:shd w:val="clear" w:color="auto" w:fill="auto"/>
            <w:tcMar>
              <w:left w:w="100" w:type="dxa"/>
              <w:right w:w="100" w:type="dxa"/>
            </w:tcMar>
          </w:tcPr>
          <w:p w14:paraId="788F3BAB" w14:textId="129D2DCE" w:rsidR="00240B49" w:rsidRPr="00240B49" w:rsidRDefault="00240B49" w:rsidP="00271D3C">
            <w:pPr>
              <w:pStyle w:val="NormalWeb"/>
              <w:spacing w:before="40" w:beforeAutospacing="0" w:after="40" w:afterAutospacing="0" w:line="240" w:lineRule="auto"/>
              <w:contextualSpacing/>
              <w:jc w:val="center"/>
              <w:rPr>
                <w:rFonts w:cs="Calibri"/>
                <w:sz w:val="18"/>
                <w:szCs w:val="18"/>
                <w:lang w:val="en-US"/>
              </w:rPr>
            </w:pPr>
            <w:r>
              <w:rPr>
                <w:rFonts w:eastAsia="Calibri Light" w:cs="Calibri"/>
                <w:b/>
                <w:sz w:val="18"/>
                <w:szCs w:val="18"/>
                <w:lang w:val="en-US"/>
              </w:rPr>
              <w:t>ZPR</w:t>
            </w:r>
          </w:p>
        </w:tc>
        <w:tc>
          <w:tcPr>
            <w:tcW w:w="1201" w:type="dxa"/>
            <w:tcBorders>
              <w:top w:val="single" w:sz="2" w:space="0" w:color="000000"/>
              <w:bottom w:val="single" w:sz="2" w:space="0" w:color="000000"/>
            </w:tcBorders>
            <w:shd w:val="clear" w:color="auto" w:fill="auto"/>
            <w:tcMar>
              <w:left w:w="100" w:type="dxa"/>
              <w:right w:w="100" w:type="dxa"/>
            </w:tcMar>
          </w:tcPr>
          <w:p w14:paraId="29F1097B" w14:textId="1D996937" w:rsidR="00240B49" w:rsidRPr="00240B49" w:rsidRDefault="00240B49" w:rsidP="00271D3C">
            <w:pPr>
              <w:pStyle w:val="NormalWeb"/>
              <w:spacing w:before="40" w:beforeAutospacing="0" w:after="40" w:afterAutospacing="0" w:line="240" w:lineRule="auto"/>
              <w:contextualSpacing/>
              <w:jc w:val="center"/>
              <w:rPr>
                <w:rFonts w:cs="Calibri"/>
                <w:sz w:val="18"/>
                <w:szCs w:val="18"/>
                <w:lang w:val="en-US"/>
              </w:rPr>
            </w:pPr>
            <w:r>
              <w:rPr>
                <w:rFonts w:eastAsia="Calibri Light" w:cs="Calibri"/>
                <w:b/>
                <w:sz w:val="18"/>
                <w:szCs w:val="18"/>
                <w:lang w:val="en-US"/>
              </w:rPr>
              <w:t>TPF</w:t>
            </w:r>
          </w:p>
        </w:tc>
      </w:tr>
      <w:tr w:rsidR="00240B49" w:rsidRPr="003348F5" w14:paraId="79C8B8B8" w14:textId="77777777" w:rsidTr="00240B49">
        <w:tc>
          <w:tcPr>
            <w:tcW w:w="2340" w:type="dxa"/>
            <w:tcBorders>
              <w:top w:val="single" w:sz="2" w:space="0" w:color="000000"/>
            </w:tcBorders>
            <w:shd w:val="clear" w:color="auto" w:fill="auto"/>
            <w:tcMar>
              <w:left w:w="100" w:type="dxa"/>
              <w:right w:w="100" w:type="dxa"/>
            </w:tcMar>
          </w:tcPr>
          <w:p w14:paraId="30E57871" w14:textId="77777777" w:rsidR="00240B49" w:rsidRPr="008515C4" w:rsidRDefault="00240B49" w:rsidP="00271D3C">
            <w:pPr>
              <w:pStyle w:val="NormalWeb"/>
              <w:spacing w:before="40" w:beforeAutospacing="0" w:after="40" w:afterAutospacing="0" w:line="240" w:lineRule="auto"/>
              <w:contextualSpacing/>
              <w:rPr>
                <w:rFonts w:cs="Calibri"/>
                <w:sz w:val="18"/>
                <w:szCs w:val="18"/>
                <w:lang w:val="en-US"/>
              </w:rPr>
            </w:pPr>
            <w:r>
              <w:rPr>
                <w:rFonts w:eastAsia="Calibri Light" w:cs="Calibri"/>
                <w:sz w:val="18"/>
                <w:szCs w:val="18"/>
                <w:lang w:val="en-US"/>
              </w:rPr>
              <w:t>ROA</w:t>
            </w:r>
          </w:p>
        </w:tc>
        <w:tc>
          <w:tcPr>
            <w:tcW w:w="821" w:type="dxa"/>
            <w:tcBorders>
              <w:top w:val="single" w:sz="2" w:space="0" w:color="000000"/>
            </w:tcBorders>
            <w:shd w:val="clear" w:color="auto" w:fill="auto"/>
            <w:tcMar>
              <w:left w:w="100" w:type="dxa"/>
              <w:right w:w="100" w:type="dxa"/>
            </w:tcMar>
          </w:tcPr>
          <w:p w14:paraId="6E4A5A4B" w14:textId="07863D31" w:rsidR="00240B49" w:rsidRPr="008515C4" w:rsidRDefault="00240B49" w:rsidP="00240B49">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1</w:t>
            </w:r>
          </w:p>
        </w:tc>
        <w:tc>
          <w:tcPr>
            <w:tcW w:w="800" w:type="dxa"/>
            <w:tcBorders>
              <w:top w:val="single" w:sz="2" w:space="0" w:color="000000"/>
            </w:tcBorders>
            <w:shd w:val="clear" w:color="auto" w:fill="auto"/>
            <w:tcMar>
              <w:left w:w="100" w:type="dxa"/>
              <w:right w:w="100" w:type="dxa"/>
            </w:tcMar>
          </w:tcPr>
          <w:p w14:paraId="3576E7E2" w14:textId="212CB11F" w:rsidR="00240B49" w:rsidRPr="008515C4" w:rsidRDefault="00240B49" w:rsidP="00240B49">
            <w:pPr>
              <w:pStyle w:val="NormalWeb"/>
              <w:spacing w:before="40" w:beforeAutospacing="0" w:after="40" w:afterAutospacing="0" w:line="240" w:lineRule="auto"/>
              <w:contextualSpacing/>
              <w:jc w:val="center"/>
              <w:rPr>
                <w:rFonts w:cs="Calibri"/>
                <w:sz w:val="18"/>
                <w:szCs w:val="18"/>
                <w:lang w:val="en-US"/>
              </w:rPr>
            </w:pPr>
          </w:p>
        </w:tc>
        <w:tc>
          <w:tcPr>
            <w:tcW w:w="720" w:type="dxa"/>
            <w:tcBorders>
              <w:top w:val="single" w:sz="2" w:space="0" w:color="000000"/>
            </w:tcBorders>
            <w:shd w:val="clear" w:color="auto" w:fill="auto"/>
            <w:tcMar>
              <w:left w:w="100" w:type="dxa"/>
              <w:right w:w="100" w:type="dxa"/>
            </w:tcMar>
          </w:tcPr>
          <w:p w14:paraId="2DAA8DAA" w14:textId="0EEC7AB8" w:rsidR="00240B49" w:rsidRPr="008515C4" w:rsidRDefault="00240B49" w:rsidP="00240B49">
            <w:pPr>
              <w:pStyle w:val="NormalWeb"/>
              <w:spacing w:before="40" w:beforeAutospacing="0" w:after="40" w:afterAutospacing="0" w:line="240" w:lineRule="auto"/>
              <w:contextualSpacing/>
              <w:jc w:val="center"/>
              <w:rPr>
                <w:rFonts w:cs="Calibri"/>
                <w:sz w:val="18"/>
                <w:szCs w:val="18"/>
                <w:lang w:val="en-US"/>
              </w:rPr>
            </w:pPr>
          </w:p>
        </w:tc>
        <w:tc>
          <w:tcPr>
            <w:tcW w:w="748" w:type="dxa"/>
            <w:tcBorders>
              <w:top w:val="single" w:sz="2" w:space="0" w:color="000000"/>
            </w:tcBorders>
            <w:shd w:val="clear" w:color="auto" w:fill="auto"/>
            <w:tcMar>
              <w:left w:w="100" w:type="dxa"/>
              <w:right w:w="100" w:type="dxa"/>
            </w:tcMar>
          </w:tcPr>
          <w:p w14:paraId="03096DF5" w14:textId="67DC711E" w:rsidR="00240B49" w:rsidRPr="007078D9" w:rsidRDefault="00240B49" w:rsidP="00240B49">
            <w:pPr>
              <w:pStyle w:val="NormalWeb"/>
              <w:spacing w:before="40" w:beforeAutospacing="0" w:after="40" w:afterAutospacing="0" w:line="240" w:lineRule="auto"/>
              <w:contextualSpacing/>
              <w:jc w:val="center"/>
              <w:rPr>
                <w:rFonts w:cs="Calibri"/>
                <w:sz w:val="18"/>
                <w:szCs w:val="18"/>
                <w:lang w:val="en-US"/>
              </w:rPr>
            </w:pPr>
          </w:p>
        </w:tc>
        <w:tc>
          <w:tcPr>
            <w:tcW w:w="1201" w:type="dxa"/>
            <w:tcBorders>
              <w:top w:val="single" w:sz="2" w:space="0" w:color="000000"/>
            </w:tcBorders>
            <w:shd w:val="clear" w:color="auto" w:fill="auto"/>
            <w:tcMar>
              <w:left w:w="100" w:type="dxa"/>
              <w:right w:w="100" w:type="dxa"/>
            </w:tcMar>
          </w:tcPr>
          <w:p w14:paraId="1BCBF027" w14:textId="21662D16" w:rsidR="00240B49" w:rsidRPr="007078D9" w:rsidRDefault="00240B49" w:rsidP="00240B49">
            <w:pPr>
              <w:pStyle w:val="NormalWeb"/>
              <w:spacing w:before="40" w:beforeAutospacing="0" w:after="40" w:afterAutospacing="0" w:line="240" w:lineRule="auto"/>
              <w:contextualSpacing/>
              <w:jc w:val="center"/>
              <w:rPr>
                <w:rFonts w:cs="Calibri"/>
                <w:sz w:val="18"/>
                <w:szCs w:val="18"/>
                <w:lang w:val="en-US"/>
              </w:rPr>
            </w:pPr>
          </w:p>
        </w:tc>
      </w:tr>
      <w:tr w:rsidR="00240B49" w:rsidRPr="003348F5" w14:paraId="2693940F" w14:textId="77777777" w:rsidTr="00240B49">
        <w:tc>
          <w:tcPr>
            <w:tcW w:w="2340" w:type="dxa"/>
            <w:shd w:val="clear" w:color="auto" w:fill="auto"/>
            <w:tcMar>
              <w:left w:w="100" w:type="dxa"/>
              <w:right w:w="100" w:type="dxa"/>
            </w:tcMar>
          </w:tcPr>
          <w:p w14:paraId="15B4122F" w14:textId="77777777" w:rsidR="00240B49" w:rsidRDefault="00240B49" w:rsidP="00271D3C">
            <w:pPr>
              <w:pStyle w:val="NormalWeb"/>
              <w:spacing w:before="40" w:beforeAutospacing="0" w:after="40" w:afterAutospacing="0" w:line="240" w:lineRule="auto"/>
              <w:contextualSpacing/>
              <w:rPr>
                <w:rFonts w:eastAsia="Calibri Light" w:cs="Calibri"/>
                <w:sz w:val="18"/>
                <w:szCs w:val="18"/>
                <w:lang w:val="en-US"/>
              </w:rPr>
            </w:pPr>
          </w:p>
        </w:tc>
        <w:tc>
          <w:tcPr>
            <w:tcW w:w="821" w:type="dxa"/>
            <w:shd w:val="clear" w:color="auto" w:fill="auto"/>
            <w:tcMar>
              <w:left w:w="100" w:type="dxa"/>
              <w:right w:w="100" w:type="dxa"/>
            </w:tcMar>
          </w:tcPr>
          <w:p w14:paraId="382A4E8C" w14:textId="77777777" w:rsidR="00240B49" w:rsidRDefault="00240B49" w:rsidP="00240B49">
            <w:pPr>
              <w:pStyle w:val="NormalWeb"/>
              <w:spacing w:before="40" w:beforeAutospacing="0" w:after="40" w:afterAutospacing="0" w:line="240" w:lineRule="auto"/>
              <w:contextualSpacing/>
              <w:jc w:val="center"/>
              <w:rPr>
                <w:rFonts w:cs="Calibri"/>
                <w:sz w:val="18"/>
                <w:szCs w:val="18"/>
                <w:lang w:val="en-US"/>
              </w:rPr>
            </w:pPr>
          </w:p>
        </w:tc>
        <w:tc>
          <w:tcPr>
            <w:tcW w:w="800" w:type="dxa"/>
            <w:shd w:val="clear" w:color="auto" w:fill="auto"/>
            <w:tcMar>
              <w:left w:w="100" w:type="dxa"/>
              <w:right w:w="100" w:type="dxa"/>
            </w:tcMar>
          </w:tcPr>
          <w:p w14:paraId="4A14108C" w14:textId="77777777" w:rsidR="00240B49" w:rsidRPr="008515C4" w:rsidRDefault="00240B49" w:rsidP="00240B49">
            <w:pPr>
              <w:pStyle w:val="NormalWeb"/>
              <w:spacing w:before="40" w:beforeAutospacing="0" w:after="40" w:afterAutospacing="0" w:line="240" w:lineRule="auto"/>
              <w:contextualSpacing/>
              <w:jc w:val="center"/>
              <w:rPr>
                <w:rFonts w:cs="Calibri"/>
                <w:sz w:val="18"/>
                <w:szCs w:val="18"/>
                <w:lang w:val="en-US"/>
              </w:rPr>
            </w:pPr>
          </w:p>
        </w:tc>
        <w:tc>
          <w:tcPr>
            <w:tcW w:w="720" w:type="dxa"/>
            <w:shd w:val="clear" w:color="auto" w:fill="auto"/>
            <w:tcMar>
              <w:left w:w="100" w:type="dxa"/>
              <w:right w:w="100" w:type="dxa"/>
            </w:tcMar>
          </w:tcPr>
          <w:p w14:paraId="7ECBB3D5" w14:textId="77777777" w:rsidR="00240B49" w:rsidRPr="008515C4" w:rsidRDefault="00240B49" w:rsidP="00240B49">
            <w:pPr>
              <w:pStyle w:val="NormalWeb"/>
              <w:spacing w:before="40" w:beforeAutospacing="0" w:after="40" w:afterAutospacing="0" w:line="240" w:lineRule="auto"/>
              <w:contextualSpacing/>
              <w:jc w:val="center"/>
              <w:rPr>
                <w:rFonts w:cs="Calibri"/>
                <w:sz w:val="18"/>
                <w:szCs w:val="18"/>
                <w:lang w:val="en-US"/>
              </w:rPr>
            </w:pPr>
          </w:p>
        </w:tc>
        <w:tc>
          <w:tcPr>
            <w:tcW w:w="748" w:type="dxa"/>
            <w:shd w:val="clear" w:color="auto" w:fill="auto"/>
            <w:tcMar>
              <w:left w:w="100" w:type="dxa"/>
              <w:right w:w="100" w:type="dxa"/>
            </w:tcMar>
          </w:tcPr>
          <w:p w14:paraId="67BEDE93" w14:textId="77777777" w:rsidR="00240B49" w:rsidRPr="007078D9" w:rsidRDefault="00240B49" w:rsidP="00240B49">
            <w:pPr>
              <w:pStyle w:val="NormalWeb"/>
              <w:spacing w:before="40" w:beforeAutospacing="0" w:after="40" w:afterAutospacing="0" w:line="240" w:lineRule="auto"/>
              <w:contextualSpacing/>
              <w:jc w:val="center"/>
              <w:rPr>
                <w:rFonts w:cs="Calibri"/>
                <w:sz w:val="18"/>
                <w:szCs w:val="18"/>
                <w:lang w:val="en-US"/>
              </w:rPr>
            </w:pPr>
          </w:p>
        </w:tc>
        <w:tc>
          <w:tcPr>
            <w:tcW w:w="1201" w:type="dxa"/>
            <w:shd w:val="clear" w:color="auto" w:fill="auto"/>
            <w:tcMar>
              <w:left w:w="100" w:type="dxa"/>
              <w:right w:w="100" w:type="dxa"/>
            </w:tcMar>
          </w:tcPr>
          <w:p w14:paraId="206D9255" w14:textId="77777777" w:rsidR="00240B49" w:rsidRPr="007078D9" w:rsidRDefault="00240B49" w:rsidP="00240B49">
            <w:pPr>
              <w:pStyle w:val="NormalWeb"/>
              <w:spacing w:before="40" w:beforeAutospacing="0" w:after="40" w:afterAutospacing="0" w:line="240" w:lineRule="auto"/>
              <w:contextualSpacing/>
              <w:jc w:val="center"/>
              <w:rPr>
                <w:rFonts w:cs="Calibri"/>
                <w:sz w:val="18"/>
                <w:szCs w:val="18"/>
                <w:lang w:val="en-US"/>
              </w:rPr>
            </w:pPr>
          </w:p>
        </w:tc>
      </w:tr>
      <w:tr w:rsidR="00240B49" w:rsidRPr="003348F5" w14:paraId="441B1A2C" w14:textId="77777777" w:rsidTr="00240B49">
        <w:tc>
          <w:tcPr>
            <w:tcW w:w="2340" w:type="dxa"/>
            <w:shd w:val="clear" w:color="auto" w:fill="auto"/>
            <w:tcMar>
              <w:left w:w="100" w:type="dxa"/>
              <w:right w:w="100" w:type="dxa"/>
            </w:tcMar>
          </w:tcPr>
          <w:p w14:paraId="246376A9" w14:textId="77777777" w:rsidR="00240B49" w:rsidRPr="008515C4" w:rsidRDefault="00240B49"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ROE</w:t>
            </w:r>
          </w:p>
        </w:tc>
        <w:tc>
          <w:tcPr>
            <w:tcW w:w="821" w:type="dxa"/>
            <w:shd w:val="clear" w:color="auto" w:fill="auto"/>
            <w:tcMar>
              <w:left w:w="100" w:type="dxa"/>
              <w:right w:w="100" w:type="dxa"/>
            </w:tcMar>
          </w:tcPr>
          <w:p w14:paraId="16CC0923" w14:textId="5B446BAE" w:rsidR="00240B49" w:rsidRPr="008515C4" w:rsidRDefault="00522A4F" w:rsidP="00240B49">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w:t>
            </w:r>
          </w:p>
        </w:tc>
        <w:tc>
          <w:tcPr>
            <w:tcW w:w="800" w:type="dxa"/>
            <w:shd w:val="clear" w:color="auto" w:fill="auto"/>
            <w:tcMar>
              <w:left w:w="100" w:type="dxa"/>
              <w:right w:w="100" w:type="dxa"/>
            </w:tcMar>
          </w:tcPr>
          <w:p w14:paraId="2C875217" w14:textId="4D5FFC5D" w:rsidR="00240B49" w:rsidRPr="008515C4" w:rsidRDefault="00522A4F" w:rsidP="00240B49">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1</w:t>
            </w:r>
          </w:p>
        </w:tc>
        <w:tc>
          <w:tcPr>
            <w:tcW w:w="720" w:type="dxa"/>
            <w:shd w:val="clear" w:color="auto" w:fill="auto"/>
            <w:tcMar>
              <w:left w:w="100" w:type="dxa"/>
              <w:right w:w="100" w:type="dxa"/>
            </w:tcMar>
          </w:tcPr>
          <w:p w14:paraId="5E65160B" w14:textId="1C3C1EC9" w:rsidR="00240B49" w:rsidRPr="008515C4" w:rsidRDefault="00240B49" w:rsidP="00240B49">
            <w:pPr>
              <w:pStyle w:val="NormalWeb"/>
              <w:spacing w:before="40" w:beforeAutospacing="0" w:after="40" w:afterAutospacing="0" w:line="240" w:lineRule="auto"/>
              <w:contextualSpacing/>
              <w:jc w:val="center"/>
              <w:rPr>
                <w:rFonts w:cs="Calibri"/>
                <w:sz w:val="18"/>
                <w:szCs w:val="18"/>
                <w:lang w:val="en-US"/>
              </w:rPr>
            </w:pPr>
          </w:p>
        </w:tc>
        <w:tc>
          <w:tcPr>
            <w:tcW w:w="748" w:type="dxa"/>
            <w:shd w:val="clear" w:color="auto" w:fill="auto"/>
            <w:tcMar>
              <w:left w:w="100" w:type="dxa"/>
              <w:right w:w="100" w:type="dxa"/>
            </w:tcMar>
          </w:tcPr>
          <w:p w14:paraId="670B8E18" w14:textId="7A4DF850" w:rsidR="00240B49" w:rsidRPr="007078D9" w:rsidRDefault="00240B49" w:rsidP="00240B49">
            <w:pPr>
              <w:pStyle w:val="NormalWeb"/>
              <w:spacing w:before="40" w:beforeAutospacing="0" w:after="40" w:afterAutospacing="0" w:line="240" w:lineRule="auto"/>
              <w:contextualSpacing/>
              <w:jc w:val="center"/>
              <w:rPr>
                <w:rFonts w:cs="Calibri"/>
                <w:sz w:val="18"/>
                <w:szCs w:val="18"/>
                <w:lang w:val="en-US"/>
              </w:rPr>
            </w:pPr>
          </w:p>
        </w:tc>
        <w:tc>
          <w:tcPr>
            <w:tcW w:w="1201" w:type="dxa"/>
            <w:shd w:val="clear" w:color="auto" w:fill="auto"/>
            <w:tcMar>
              <w:left w:w="100" w:type="dxa"/>
              <w:right w:w="100" w:type="dxa"/>
            </w:tcMar>
          </w:tcPr>
          <w:p w14:paraId="4157105A" w14:textId="22859911" w:rsidR="00240B49" w:rsidRPr="007078D9" w:rsidRDefault="00240B49" w:rsidP="00240B49">
            <w:pPr>
              <w:pStyle w:val="NormalWeb"/>
              <w:spacing w:before="40" w:beforeAutospacing="0" w:after="40" w:afterAutospacing="0" w:line="240" w:lineRule="auto"/>
              <w:contextualSpacing/>
              <w:jc w:val="center"/>
              <w:rPr>
                <w:rFonts w:cs="Calibri"/>
                <w:sz w:val="18"/>
                <w:szCs w:val="18"/>
                <w:lang w:val="en-US"/>
              </w:rPr>
            </w:pPr>
          </w:p>
        </w:tc>
      </w:tr>
      <w:tr w:rsidR="00240B49" w:rsidRPr="003348F5" w14:paraId="5B63A685" w14:textId="77777777" w:rsidTr="00240B49">
        <w:tc>
          <w:tcPr>
            <w:tcW w:w="2340" w:type="dxa"/>
            <w:shd w:val="clear" w:color="auto" w:fill="auto"/>
            <w:tcMar>
              <w:left w:w="100" w:type="dxa"/>
              <w:right w:w="100" w:type="dxa"/>
            </w:tcMar>
          </w:tcPr>
          <w:p w14:paraId="594BFC7E" w14:textId="77777777" w:rsidR="00240B49" w:rsidRDefault="00240B49" w:rsidP="00271D3C">
            <w:pPr>
              <w:pStyle w:val="NormalWeb"/>
              <w:spacing w:before="40" w:beforeAutospacing="0" w:after="40" w:afterAutospacing="0" w:line="240" w:lineRule="auto"/>
              <w:contextualSpacing/>
              <w:rPr>
                <w:rFonts w:cs="Calibri"/>
                <w:sz w:val="18"/>
                <w:szCs w:val="18"/>
                <w:lang w:val="en-US"/>
              </w:rPr>
            </w:pPr>
          </w:p>
        </w:tc>
        <w:tc>
          <w:tcPr>
            <w:tcW w:w="821" w:type="dxa"/>
            <w:shd w:val="clear" w:color="auto" w:fill="auto"/>
            <w:tcMar>
              <w:left w:w="100" w:type="dxa"/>
              <w:right w:w="100" w:type="dxa"/>
            </w:tcMar>
          </w:tcPr>
          <w:p w14:paraId="5322644F" w14:textId="6AE3C7DA" w:rsidR="00240B49" w:rsidRDefault="00522A4F" w:rsidP="00240B49">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w:t>
            </w:r>
          </w:p>
        </w:tc>
        <w:tc>
          <w:tcPr>
            <w:tcW w:w="800" w:type="dxa"/>
            <w:shd w:val="clear" w:color="auto" w:fill="auto"/>
            <w:tcMar>
              <w:left w:w="100" w:type="dxa"/>
              <w:right w:w="100" w:type="dxa"/>
            </w:tcMar>
          </w:tcPr>
          <w:p w14:paraId="696F122C" w14:textId="77777777" w:rsidR="00240B49" w:rsidRPr="008515C4" w:rsidRDefault="00240B49" w:rsidP="00240B49">
            <w:pPr>
              <w:pStyle w:val="NormalWeb"/>
              <w:spacing w:before="40" w:beforeAutospacing="0" w:after="40" w:afterAutospacing="0" w:line="240" w:lineRule="auto"/>
              <w:contextualSpacing/>
              <w:jc w:val="center"/>
              <w:rPr>
                <w:rFonts w:cs="Calibri"/>
                <w:sz w:val="18"/>
                <w:szCs w:val="18"/>
                <w:lang w:val="en-US"/>
              </w:rPr>
            </w:pPr>
          </w:p>
        </w:tc>
        <w:tc>
          <w:tcPr>
            <w:tcW w:w="720" w:type="dxa"/>
            <w:shd w:val="clear" w:color="auto" w:fill="auto"/>
            <w:tcMar>
              <w:left w:w="100" w:type="dxa"/>
              <w:right w:w="100" w:type="dxa"/>
            </w:tcMar>
          </w:tcPr>
          <w:p w14:paraId="65191C44" w14:textId="77777777" w:rsidR="00240B49" w:rsidRPr="008515C4" w:rsidRDefault="00240B49" w:rsidP="00240B49">
            <w:pPr>
              <w:pStyle w:val="NormalWeb"/>
              <w:spacing w:before="40" w:beforeAutospacing="0" w:after="40" w:afterAutospacing="0" w:line="240" w:lineRule="auto"/>
              <w:contextualSpacing/>
              <w:jc w:val="center"/>
              <w:rPr>
                <w:rFonts w:cs="Calibri"/>
                <w:sz w:val="18"/>
                <w:szCs w:val="18"/>
                <w:lang w:val="en-US"/>
              </w:rPr>
            </w:pPr>
          </w:p>
        </w:tc>
        <w:tc>
          <w:tcPr>
            <w:tcW w:w="748" w:type="dxa"/>
            <w:shd w:val="clear" w:color="auto" w:fill="auto"/>
            <w:tcMar>
              <w:left w:w="100" w:type="dxa"/>
              <w:right w:w="100" w:type="dxa"/>
            </w:tcMar>
          </w:tcPr>
          <w:p w14:paraId="0F5E4754" w14:textId="77777777" w:rsidR="00240B49" w:rsidRPr="007078D9" w:rsidRDefault="00240B49" w:rsidP="00240B49">
            <w:pPr>
              <w:pStyle w:val="NormalWeb"/>
              <w:spacing w:before="40" w:beforeAutospacing="0" w:after="40" w:afterAutospacing="0" w:line="240" w:lineRule="auto"/>
              <w:contextualSpacing/>
              <w:jc w:val="center"/>
              <w:rPr>
                <w:rFonts w:cs="Calibri"/>
                <w:sz w:val="18"/>
                <w:szCs w:val="18"/>
                <w:lang w:val="en-US"/>
              </w:rPr>
            </w:pPr>
          </w:p>
        </w:tc>
        <w:tc>
          <w:tcPr>
            <w:tcW w:w="1201" w:type="dxa"/>
            <w:shd w:val="clear" w:color="auto" w:fill="auto"/>
            <w:tcMar>
              <w:left w:w="100" w:type="dxa"/>
              <w:right w:w="100" w:type="dxa"/>
            </w:tcMar>
          </w:tcPr>
          <w:p w14:paraId="2EE32733" w14:textId="77777777" w:rsidR="00240B49" w:rsidRPr="007078D9" w:rsidRDefault="00240B49" w:rsidP="00240B49">
            <w:pPr>
              <w:pStyle w:val="NormalWeb"/>
              <w:spacing w:before="40" w:beforeAutospacing="0" w:after="40" w:afterAutospacing="0" w:line="240" w:lineRule="auto"/>
              <w:contextualSpacing/>
              <w:jc w:val="center"/>
              <w:rPr>
                <w:rFonts w:cs="Calibri"/>
                <w:sz w:val="18"/>
                <w:szCs w:val="18"/>
                <w:lang w:val="en-US"/>
              </w:rPr>
            </w:pPr>
          </w:p>
        </w:tc>
      </w:tr>
      <w:tr w:rsidR="00240B49" w:rsidRPr="003348F5" w14:paraId="0200FD1E" w14:textId="77777777" w:rsidTr="00240B49">
        <w:tc>
          <w:tcPr>
            <w:tcW w:w="2340" w:type="dxa"/>
            <w:shd w:val="clear" w:color="auto" w:fill="auto"/>
            <w:tcMar>
              <w:left w:w="100" w:type="dxa"/>
              <w:right w:w="100" w:type="dxa"/>
            </w:tcMar>
          </w:tcPr>
          <w:p w14:paraId="5EC7DCC7" w14:textId="77777777" w:rsidR="00240B49" w:rsidRPr="008515C4" w:rsidRDefault="00240B49"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IC</w:t>
            </w:r>
          </w:p>
        </w:tc>
        <w:tc>
          <w:tcPr>
            <w:tcW w:w="821" w:type="dxa"/>
            <w:shd w:val="clear" w:color="auto" w:fill="auto"/>
            <w:tcMar>
              <w:left w:w="100" w:type="dxa"/>
              <w:right w:w="100" w:type="dxa"/>
            </w:tcMar>
          </w:tcPr>
          <w:p w14:paraId="346DB37B" w14:textId="619F9563" w:rsidR="00240B49" w:rsidRPr="008515C4" w:rsidRDefault="00522A4F" w:rsidP="00240B49">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0.58*</w:t>
            </w:r>
            <w:r w:rsidR="002F7440">
              <w:rPr>
                <w:rFonts w:cs="Calibri"/>
                <w:sz w:val="18"/>
                <w:szCs w:val="18"/>
                <w:lang w:val="en-US"/>
              </w:rPr>
              <w:t>**</w:t>
            </w:r>
          </w:p>
        </w:tc>
        <w:tc>
          <w:tcPr>
            <w:tcW w:w="800" w:type="dxa"/>
            <w:shd w:val="clear" w:color="auto" w:fill="auto"/>
            <w:tcMar>
              <w:left w:w="100" w:type="dxa"/>
              <w:right w:w="100" w:type="dxa"/>
            </w:tcMar>
          </w:tcPr>
          <w:p w14:paraId="6F8B52D1" w14:textId="4232DDC4" w:rsidR="00240B49" w:rsidRPr="008515C4" w:rsidRDefault="00522A4F" w:rsidP="00240B49">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0.51**</w:t>
            </w:r>
            <w:r w:rsidR="002F7440">
              <w:rPr>
                <w:rFonts w:cs="Calibri"/>
                <w:sz w:val="18"/>
                <w:szCs w:val="18"/>
                <w:lang w:val="en-US"/>
              </w:rPr>
              <w:t>*</w:t>
            </w:r>
          </w:p>
        </w:tc>
        <w:tc>
          <w:tcPr>
            <w:tcW w:w="720" w:type="dxa"/>
            <w:shd w:val="clear" w:color="auto" w:fill="auto"/>
            <w:tcMar>
              <w:left w:w="100" w:type="dxa"/>
              <w:right w:w="100" w:type="dxa"/>
            </w:tcMar>
          </w:tcPr>
          <w:p w14:paraId="4EF513A9" w14:textId="76616C79" w:rsidR="00240B49" w:rsidRPr="008515C4" w:rsidRDefault="00522A4F" w:rsidP="00240B49">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1</w:t>
            </w:r>
          </w:p>
        </w:tc>
        <w:tc>
          <w:tcPr>
            <w:tcW w:w="748" w:type="dxa"/>
            <w:shd w:val="clear" w:color="auto" w:fill="auto"/>
            <w:tcMar>
              <w:left w:w="100" w:type="dxa"/>
              <w:right w:w="100" w:type="dxa"/>
            </w:tcMar>
          </w:tcPr>
          <w:p w14:paraId="2B001E6D" w14:textId="54D37F7B" w:rsidR="00240B49" w:rsidRPr="007078D9" w:rsidRDefault="00240B49" w:rsidP="00240B49">
            <w:pPr>
              <w:pStyle w:val="NormalWeb"/>
              <w:spacing w:before="40" w:beforeAutospacing="0" w:after="40" w:afterAutospacing="0" w:line="240" w:lineRule="auto"/>
              <w:contextualSpacing/>
              <w:jc w:val="center"/>
              <w:rPr>
                <w:rFonts w:cs="Calibri"/>
                <w:sz w:val="18"/>
                <w:szCs w:val="18"/>
                <w:lang w:val="en-US"/>
              </w:rPr>
            </w:pPr>
          </w:p>
        </w:tc>
        <w:tc>
          <w:tcPr>
            <w:tcW w:w="1201" w:type="dxa"/>
            <w:shd w:val="clear" w:color="auto" w:fill="auto"/>
            <w:tcMar>
              <w:left w:w="100" w:type="dxa"/>
              <w:right w:w="100" w:type="dxa"/>
            </w:tcMar>
          </w:tcPr>
          <w:p w14:paraId="3E9C01E1" w14:textId="0A6B6377" w:rsidR="00240B49" w:rsidRPr="007078D9" w:rsidRDefault="00240B49" w:rsidP="00240B49">
            <w:pPr>
              <w:pStyle w:val="NormalWeb"/>
              <w:spacing w:before="40" w:beforeAutospacing="0" w:after="40" w:afterAutospacing="0" w:line="240" w:lineRule="auto"/>
              <w:contextualSpacing/>
              <w:jc w:val="center"/>
              <w:rPr>
                <w:rFonts w:cs="Calibri"/>
                <w:sz w:val="18"/>
                <w:szCs w:val="18"/>
                <w:lang w:val="en-US"/>
              </w:rPr>
            </w:pPr>
          </w:p>
        </w:tc>
      </w:tr>
      <w:tr w:rsidR="00240B49" w:rsidRPr="003348F5" w14:paraId="2BDC625D" w14:textId="77777777" w:rsidTr="00240B49">
        <w:tc>
          <w:tcPr>
            <w:tcW w:w="2340" w:type="dxa"/>
            <w:shd w:val="clear" w:color="auto" w:fill="auto"/>
            <w:tcMar>
              <w:left w:w="100" w:type="dxa"/>
              <w:right w:w="100" w:type="dxa"/>
            </w:tcMar>
          </w:tcPr>
          <w:p w14:paraId="27EC7356" w14:textId="77777777" w:rsidR="00240B49" w:rsidRDefault="00240B49" w:rsidP="00271D3C">
            <w:pPr>
              <w:pStyle w:val="NormalWeb"/>
              <w:spacing w:before="40" w:beforeAutospacing="0" w:after="40" w:afterAutospacing="0" w:line="240" w:lineRule="auto"/>
              <w:contextualSpacing/>
              <w:rPr>
                <w:rFonts w:cs="Calibri"/>
                <w:sz w:val="18"/>
                <w:szCs w:val="18"/>
                <w:lang w:val="en-US"/>
              </w:rPr>
            </w:pPr>
          </w:p>
        </w:tc>
        <w:tc>
          <w:tcPr>
            <w:tcW w:w="821" w:type="dxa"/>
            <w:shd w:val="clear" w:color="auto" w:fill="auto"/>
            <w:tcMar>
              <w:left w:w="100" w:type="dxa"/>
              <w:right w:w="100" w:type="dxa"/>
            </w:tcMar>
          </w:tcPr>
          <w:p w14:paraId="35117B2A" w14:textId="2A712D87" w:rsidR="00240B49" w:rsidRPr="008515C4" w:rsidRDefault="00522A4F" w:rsidP="00240B49">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(0.00)</w:t>
            </w:r>
          </w:p>
        </w:tc>
        <w:tc>
          <w:tcPr>
            <w:tcW w:w="800" w:type="dxa"/>
            <w:shd w:val="clear" w:color="auto" w:fill="auto"/>
            <w:tcMar>
              <w:left w:w="100" w:type="dxa"/>
              <w:right w:w="100" w:type="dxa"/>
            </w:tcMar>
          </w:tcPr>
          <w:p w14:paraId="7AAEDAB0" w14:textId="0E58C22E" w:rsidR="00240B49" w:rsidRPr="008515C4" w:rsidRDefault="00522A4F" w:rsidP="00240B49">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(0.00)</w:t>
            </w:r>
          </w:p>
        </w:tc>
        <w:tc>
          <w:tcPr>
            <w:tcW w:w="720" w:type="dxa"/>
            <w:shd w:val="clear" w:color="auto" w:fill="auto"/>
            <w:tcMar>
              <w:left w:w="100" w:type="dxa"/>
              <w:right w:w="100" w:type="dxa"/>
            </w:tcMar>
          </w:tcPr>
          <w:p w14:paraId="21088960" w14:textId="77777777" w:rsidR="00240B49" w:rsidRPr="008515C4" w:rsidRDefault="00240B49" w:rsidP="00240B49">
            <w:pPr>
              <w:pStyle w:val="NormalWeb"/>
              <w:spacing w:before="40" w:beforeAutospacing="0" w:after="40" w:afterAutospacing="0" w:line="240" w:lineRule="auto"/>
              <w:contextualSpacing/>
              <w:jc w:val="center"/>
              <w:rPr>
                <w:rFonts w:cs="Calibri"/>
                <w:sz w:val="18"/>
                <w:szCs w:val="18"/>
                <w:lang w:val="en-US"/>
              </w:rPr>
            </w:pPr>
          </w:p>
        </w:tc>
        <w:tc>
          <w:tcPr>
            <w:tcW w:w="748" w:type="dxa"/>
            <w:shd w:val="clear" w:color="auto" w:fill="auto"/>
            <w:tcMar>
              <w:left w:w="100" w:type="dxa"/>
              <w:right w:w="100" w:type="dxa"/>
            </w:tcMar>
          </w:tcPr>
          <w:p w14:paraId="5F8AF008" w14:textId="77777777" w:rsidR="00240B49" w:rsidRPr="007078D9" w:rsidRDefault="00240B49" w:rsidP="00240B49">
            <w:pPr>
              <w:pStyle w:val="NormalWeb"/>
              <w:spacing w:before="40" w:beforeAutospacing="0" w:after="40" w:afterAutospacing="0" w:line="240" w:lineRule="auto"/>
              <w:contextualSpacing/>
              <w:jc w:val="center"/>
              <w:rPr>
                <w:rFonts w:cs="Calibri"/>
                <w:sz w:val="18"/>
                <w:szCs w:val="18"/>
                <w:lang w:val="en-US"/>
              </w:rPr>
            </w:pPr>
          </w:p>
        </w:tc>
        <w:tc>
          <w:tcPr>
            <w:tcW w:w="1201" w:type="dxa"/>
            <w:shd w:val="clear" w:color="auto" w:fill="auto"/>
            <w:tcMar>
              <w:left w:w="100" w:type="dxa"/>
              <w:right w:w="100" w:type="dxa"/>
            </w:tcMar>
          </w:tcPr>
          <w:p w14:paraId="702739AC" w14:textId="77777777" w:rsidR="00240B49" w:rsidRPr="007078D9" w:rsidRDefault="00240B49" w:rsidP="00240B49">
            <w:pPr>
              <w:pStyle w:val="NormalWeb"/>
              <w:spacing w:before="40" w:beforeAutospacing="0" w:after="40" w:afterAutospacing="0" w:line="240" w:lineRule="auto"/>
              <w:contextualSpacing/>
              <w:jc w:val="center"/>
              <w:rPr>
                <w:rFonts w:cs="Calibri"/>
                <w:sz w:val="18"/>
                <w:szCs w:val="18"/>
                <w:lang w:val="en-US"/>
              </w:rPr>
            </w:pPr>
          </w:p>
        </w:tc>
      </w:tr>
      <w:tr w:rsidR="00240B49" w:rsidRPr="003348F5" w14:paraId="2066BCEA" w14:textId="77777777" w:rsidTr="00240B49">
        <w:tc>
          <w:tcPr>
            <w:tcW w:w="2340" w:type="dxa"/>
            <w:shd w:val="clear" w:color="auto" w:fill="auto"/>
            <w:tcMar>
              <w:left w:w="100" w:type="dxa"/>
              <w:right w:w="100" w:type="dxa"/>
            </w:tcMar>
          </w:tcPr>
          <w:p w14:paraId="7AFB1C58" w14:textId="77777777" w:rsidR="00240B49" w:rsidRDefault="00240B49"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ZPR</w:t>
            </w:r>
          </w:p>
        </w:tc>
        <w:tc>
          <w:tcPr>
            <w:tcW w:w="821" w:type="dxa"/>
            <w:shd w:val="clear" w:color="auto" w:fill="auto"/>
            <w:tcMar>
              <w:left w:w="100" w:type="dxa"/>
              <w:right w:w="100" w:type="dxa"/>
            </w:tcMar>
          </w:tcPr>
          <w:p w14:paraId="0E7B61DF" w14:textId="0DA5F1B7" w:rsidR="00240B49" w:rsidRPr="008515C4" w:rsidRDefault="00522A4F" w:rsidP="00240B49">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-0.00</w:t>
            </w:r>
          </w:p>
        </w:tc>
        <w:tc>
          <w:tcPr>
            <w:tcW w:w="800" w:type="dxa"/>
            <w:shd w:val="clear" w:color="auto" w:fill="auto"/>
            <w:tcMar>
              <w:left w:w="100" w:type="dxa"/>
              <w:right w:w="100" w:type="dxa"/>
            </w:tcMar>
          </w:tcPr>
          <w:p w14:paraId="2E6662D5" w14:textId="308519EB" w:rsidR="00240B49" w:rsidRPr="008515C4" w:rsidRDefault="00522A4F" w:rsidP="00240B49">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-0.09</w:t>
            </w:r>
          </w:p>
        </w:tc>
        <w:tc>
          <w:tcPr>
            <w:tcW w:w="720" w:type="dxa"/>
            <w:shd w:val="clear" w:color="auto" w:fill="auto"/>
            <w:tcMar>
              <w:left w:w="100" w:type="dxa"/>
              <w:right w:w="100" w:type="dxa"/>
            </w:tcMar>
          </w:tcPr>
          <w:p w14:paraId="28EA4F69" w14:textId="3447CA40" w:rsidR="00240B49" w:rsidRPr="008515C4" w:rsidRDefault="00522A4F" w:rsidP="00240B49">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0.07</w:t>
            </w:r>
          </w:p>
        </w:tc>
        <w:tc>
          <w:tcPr>
            <w:tcW w:w="748" w:type="dxa"/>
            <w:shd w:val="clear" w:color="auto" w:fill="auto"/>
            <w:tcMar>
              <w:left w:w="100" w:type="dxa"/>
              <w:right w:w="100" w:type="dxa"/>
            </w:tcMar>
          </w:tcPr>
          <w:p w14:paraId="3FF5344E" w14:textId="128B655B" w:rsidR="00240B49" w:rsidRPr="007078D9" w:rsidRDefault="00522A4F" w:rsidP="00240B49">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1</w:t>
            </w:r>
          </w:p>
        </w:tc>
        <w:tc>
          <w:tcPr>
            <w:tcW w:w="1201" w:type="dxa"/>
            <w:shd w:val="clear" w:color="auto" w:fill="auto"/>
            <w:tcMar>
              <w:left w:w="100" w:type="dxa"/>
              <w:right w:w="100" w:type="dxa"/>
            </w:tcMar>
          </w:tcPr>
          <w:p w14:paraId="3CE460EA" w14:textId="2E9EDE5D" w:rsidR="00240B49" w:rsidRPr="007078D9" w:rsidRDefault="00240B49" w:rsidP="00240B49">
            <w:pPr>
              <w:pStyle w:val="NormalWeb"/>
              <w:spacing w:before="40" w:beforeAutospacing="0" w:after="40" w:afterAutospacing="0" w:line="240" w:lineRule="auto"/>
              <w:contextualSpacing/>
              <w:jc w:val="center"/>
              <w:rPr>
                <w:rFonts w:eastAsia="Calibri Light" w:cs="Calibri"/>
                <w:sz w:val="18"/>
                <w:szCs w:val="18"/>
                <w:lang w:val="en-US"/>
              </w:rPr>
            </w:pPr>
          </w:p>
        </w:tc>
      </w:tr>
      <w:tr w:rsidR="00240B49" w:rsidRPr="003348F5" w14:paraId="6CF3D9F0" w14:textId="77777777" w:rsidTr="00240B49">
        <w:tc>
          <w:tcPr>
            <w:tcW w:w="2340" w:type="dxa"/>
            <w:shd w:val="clear" w:color="auto" w:fill="auto"/>
            <w:tcMar>
              <w:left w:w="100" w:type="dxa"/>
              <w:right w:w="100" w:type="dxa"/>
            </w:tcMar>
          </w:tcPr>
          <w:p w14:paraId="659412FD" w14:textId="77777777" w:rsidR="00240B49" w:rsidRDefault="00240B49" w:rsidP="00271D3C">
            <w:pPr>
              <w:pStyle w:val="NormalWeb"/>
              <w:spacing w:before="40" w:beforeAutospacing="0" w:after="40" w:afterAutospacing="0" w:line="240" w:lineRule="auto"/>
              <w:contextualSpacing/>
              <w:rPr>
                <w:rFonts w:cs="Calibri"/>
                <w:sz w:val="18"/>
                <w:szCs w:val="18"/>
                <w:lang w:val="en-US"/>
              </w:rPr>
            </w:pPr>
          </w:p>
        </w:tc>
        <w:tc>
          <w:tcPr>
            <w:tcW w:w="821" w:type="dxa"/>
            <w:shd w:val="clear" w:color="auto" w:fill="auto"/>
            <w:tcMar>
              <w:left w:w="100" w:type="dxa"/>
              <w:right w:w="100" w:type="dxa"/>
            </w:tcMar>
          </w:tcPr>
          <w:p w14:paraId="7CA9535E" w14:textId="15F75AB8" w:rsidR="00240B49" w:rsidRPr="008515C4" w:rsidRDefault="00522A4F" w:rsidP="00240B49">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(0.97)</w:t>
            </w:r>
          </w:p>
        </w:tc>
        <w:tc>
          <w:tcPr>
            <w:tcW w:w="800" w:type="dxa"/>
            <w:shd w:val="clear" w:color="auto" w:fill="auto"/>
            <w:tcMar>
              <w:left w:w="100" w:type="dxa"/>
              <w:right w:w="100" w:type="dxa"/>
            </w:tcMar>
          </w:tcPr>
          <w:p w14:paraId="06F026BA" w14:textId="59F56DED" w:rsidR="00240B49" w:rsidRPr="008515C4" w:rsidRDefault="00522A4F" w:rsidP="00240B49">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(0.44)</w:t>
            </w:r>
          </w:p>
        </w:tc>
        <w:tc>
          <w:tcPr>
            <w:tcW w:w="720" w:type="dxa"/>
            <w:shd w:val="clear" w:color="auto" w:fill="auto"/>
            <w:tcMar>
              <w:left w:w="100" w:type="dxa"/>
              <w:right w:w="100" w:type="dxa"/>
            </w:tcMar>
          </w:tcPr>
          <w:p w14:paraId="460A5E80" w14:textId="4DA2CE6D" w:rsidR="00240B49" w:rsidRPr="008515C4" w:rsidRDefault="00522A4F" w:rsidP="00240B49">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(0.56)</w:t>
            </w:r>
          </w:p>
        </w:tc>
        <w:tc>
          <w:tcPr>
            <w:tcW w:w="748" w:type="dxa"/>
            <w:shd w:val="clear" w:color="auto" w:fill="auto"/>
            <w:tcMar>
              <w:left w:w="100" w:type="dxa"/>
              <w:right w:w="100" w:type="dxa"/>
            </w:tcMar>
          </w:tcPr>
          <w:p w14:paraId="16D81F6E" w14:textId="77777777" w:rsidR="00240B49" w:rsidRPr="007078D9" w:rsidRDefault="00240B49" w:rsidP="00240B49">
            <w:pPr>
              <w:pStyle w:val="NormalWeb"/>
              <w:spacing w:before="40" w:beforeAutospacing="0" w:after="40" w:afterAutospacing="0" w:line="240" w:lineRule="auto"/>
              <w:contextualSpacing/>
              <w:jc w:val="center"/>
              <w:rPr>
                <w:rFonts w:eastAsia="Calibri Light" w:cs="Calibri"/>
                <w:sz w:val="18"/>
                <w:szCs w:val="18"/>
                <w:lang w:val="en-US"/>
              </w:rPr>
            </w:pPr>
          </w:p>
        </w:tc>
        <w:tc>
          <w:tcPr>
            <w:tcW w:w="1201" w:type="dxa"/>
            <w:shd w:val="clear" w:color="auto" w:fill="auto"/>
            <w:tcMar>
              <w:left w:w="100" w:type="dxa"/>
              <w:right w:w="100" w:type="dxa"/>
            </w:tcMar>
          </w:tcPr>
          <w:p w14:paraId="7C3A8B03" w14:textId="77777777" w:rsidR="00240B49" w:rsidRPr="007078D9" w:rsidRDefault="00240B49" w:rsidP="00240B49">
            <w:pPr>
              <w:pStyle w:val="NormalWeb"/>
              <w:spacing w:before="40" w:beforeAutospacing="0" w:after="40" w:afterAutospacing="0" w:line="240" w:lineRule="auto"/>
              <w:contextualSpacing/>
              <w:jc w:val="center"/>
              <w:rPr>
                <w:rFonts w:eastAsia="Calibri Light" w:cs="Calibri"/>
                <w:sz w:val="18"/>
                <w:szCs w:val="18"/>
                <w:lang w:val="en-US"/>
              </w:rPr>
            </w:pPr>
          </w:p>
        </w:tc>
      </w:tr>
      <w:tr w:rsidR="00240B49" w:rsidRPr="003348F5" w14:paraId="5F142482" w14:textId="77777777" w:rsidTr="00240B49">
        <w:tc>
          <w:tcPr>
            <w:tcW w:w="2340" w:type="dxa"/>
            <w:shd w:val="clear" w:color="auto" w:fill="auto"/>
            <w:tcMar>
              <w:left w:w="100" w:type="dxa"/>
              <w:right w:w="100" w:type="dxa"/>
            </w:tcMar>
          </w:tcPr>
          <w:p w14:paraId="206A1090" w14:textId="77777777" w:rsidR="00240B49" w:rsidRDefault="00240B49"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TPF</w:t>
            </w:r>
          </w:p>
        </w:tc>
        <w:tc>
          <w:tcPr>
            <w:tcW w:w="821" w:type="dxa"/>
            <w:shd w:val="clear" w:color="auto" w:fill="auto"/>
            <w:tcMar>
              <w:left w:w="100" w:type="dxa"/>
              <w:right w:w="100" w:type="dxa"/>
            </w:tcMar>
          </w:tcPr>
          <w:p w14:paraId="200A1697" w14:textId="34728A23" w:rsidR="00240B49" w:rsidRPr="008515C4" w:rsidRDefault="00522A4F" w:rsidP="00240B49">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-0.26*</w:t>
            </w:r>
            <w:r w:rsidR="002F7440">
              <w:rPr>
                <w:rFonts w:eastAsia="Calibri Light" w:cs="Calibri"/>
                <w:sz w:val="18"/>
                <w:szCs w:val="18"/>
                <w:lang w:val="en-US"/>
              </w:rPr>
              <w:t>*</w:t>
            </w:r>
          </w:p>
        </w:tc>
        <w:tc>
          <w:tcPr>
            <w:tcW w:w="800" w:type="dxa"/>
            <w:shd w:val="clear" w:color="auto" w:fill="auto"/>
            <w:tcMar>
              <w:left w:w="100" w:type="dxa"/>
              <w:right w:w="100" w:type="dxa"/>
            </w:tcMar>
          </w:tcPr>
          <w:p w14:paraId="3E117420" w14:textId="667C8218" w:rsidR="00240B49" w:rsidRPr="008515C4" w:rsidRDefault="00522A4F" w:rsidP="00240B49">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-0.02</w:t>
            </w:r>
          </w:p>
        </w:tc>
        <w:tc>
          <w:tcPr>
            <w:tcW w:w="720" w:type="dxa"/>
            <w:shd w:val="clear" w:color="auto" w:fill="auto"/>
            <w:tcMar>
              <w:left w:w="100" w:type="dxa"/>
              <w:right w:w="100" w:type="dxa"/>
            </w:tcMar>
          </w:tcPr>
          <w:p w14:paraId="3EA0BE3A" w14:textId="670352FD" w:rsidR="00240B49" w:rsidRPr="008515C4" w:rsidRDefault="00522A4F" w:rsidP="00240B49">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0.08</w:t>
            </w:r>
          </w:p>
        </w:tc>
        <w:tc>
          <w:tcPr>
            <w:tcW w:w="748" w:type="dxa"/>
            <w:shd w:val="clear" w:color="auto" w:fill="auto"/>
            <w:tcMar>
              <w:left w:w="100" w:type="dxa"/>
              <w:right w:w="100" w:type="dxa"/>
            </w:tcMar>
          </w:tcPr>
          <w:p w14:paraId="37AE7F4D" w14:textId="28E619D1" w:rsidR="00240B49" w:rsidRPr="007078D9" w:rsidRDefault="00707DFF" w:rsidP="00240B49">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0.04</w:t>
            </w:r>
          </w:p>
        </w:tc>
        <w:tc>
          <w:tcPr>
            <w:tcW w:w="1201" w:type="dxa"/>
            <w:shd w:val="clear" w:color="auto" w:fill="auto"/>
            <w:tcMar>
              <w:left w:w="100" w:type="dxa"/>
              <w:right w:w="100" w:type="dxa"/>
            </w:tcMar>
          </w:tcPr>
          <w:p w14:paraId="3C568AB5" w14:textId="08BC103B" w:rsidR="00240B49" w:rsidRPr="007078D9" w:rsidRDefault="00522A4F" w:rsidP="00240B49">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1</w:t>
            </w:r>
          </w:p>
        </w:tc>
      </w:tr>
      <w:tr w:rsidR="00240B49" w:rsidRPr="003348F5" w14:paraId="47342050" w14:textId="77777777" w:rsidTr="00420F29">
        <w:tc>
          <w:tcPr>
            <w:tcW w:w="2340" w:type="dxa"/>
            <w:tcBorders>
              <w:bottom w:val="single" w:sz="4" w:space="0" w:color="auto"/>
            </w:tcBorders>
            <w:shd w:val="clear" w:color="auto" w:fill="auto"/>
            <w:tcMar>
              <w:left w:w="100" w:type="dxa"/>
              <w:right w:w="100" w:type="dxa"/>
            </w:tcMar>
          </w:tcPr>
          <w:p w14:paraId="1C27D7A8" w14:textId="77777777" w:rsidR="00240B49" w:rsidRDefault="00240B49" w:rsidP="00271D3C">
            <w:pPr>
              <w:pStyle w:val="NormalWeb"/>
              <w:spacing w:before="40" w:beforeAutospacing="0" w:after="40" w:afterAutospacing="0" w:line="240" w:lineRule="auto"/>
              <w:contextualSpacing/>
              <w:rPr>
                <w:rFonts w:cs="Calibri"/>
                <w:sz w:val="18"/>
                <w:szCs w:val="18"/>
                <w:lang w:val="en-US"/>
              </w:rPr>
            </w:pPr>
          </w:p>
        </w:tc>
        <w:tc>
          <w:tcPr>
            <w:tcW w:w="821" w:type="dxa"/>
            <w:tcBorders>
              <w:bottom w:val="single" w:sz="4" w:space="0" w:color="auto"/>
            </w:tcBorders>
            <w:shd w:val="clear" w:color="auto" w:fill="auto"/>
            <w:tcMar>
              <w:left w:w="100" w:type="dxa"/>
              <w:right w:w="100" w:type="dxa"/>
            </w:tcMar>
          </w:tcPr>
          <w:p w14:paraId="3F891B94" w14:textId="5851FC26" w:rsidR="00240B49" w:rsidRPr="008515C4" w:rsidRDefault="00522A4F" w:rsidP="00240B49">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(0.02)</w:t>
            </w:r>
          </w:p>
        </w:tc>
        <w:tc>
          <w:tcPr>
            <w:tcW w:w="800" w:type="dxa"/>
            <w:tcBorders>
              <w:bottom w:val="single" w:sz="4" w:space="0" w:color="auto"/>
            </w:tcBorders>
            <w:shd w:val="clear" w:color="auto" w:fill="auto"/>
            <w:tcMar>
              <w:left w:w="100" w:type="dxa"/>
              <w:right w:w="100" w:type="dxa"/>
            </w:tcMar>
          </w:tcPr>
          <w:p w14:paraId="09F3C48D" w14:textId="7E169982" w:rsidR="00240B49" w:rsidRPr="008515C4" w:rsidRDefault="00522A4F" w:rsidP="00240B49">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(0.83)</w:t>
            </w:r>
          </w:p>
        </w:tc>
        <w:tc>
          <w:tcPr>
            <w:tcW w:w="720" w:type="dxa"/>
            <w:tcBorders>
              <w:bottom w:val="single" w:sz="4" w:space="0" w:color="auto"/>
            </w:tcBorders>
            <w:shd w:val="clear" w:color="auto" w:fill="auto"/>
            <w:tcMar>
              <w:left w:w="100" w:type="dxa"/>
              <w:right w:w="100" w:type="dxa"/>
            </w:tcMar>
          </w:tcPr>
          <w:p w14:paraId="67C80925" w14:textId="3370AF2C" w:rsidR="00240B49" w:rsidRPr="008515C4" w:rsidRDefault="00522A4F" w:rsidP="00240B49">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(0.51)</w:t>
            </w:r>
          </w:p>
        </w:tc>
        <w:tc>
          <w:tcPr>
            <w:tcW w:w="748" w:type="dxa"/>
            <w:tcBorders>
              <w:bottom w:val="single" w:sz="4" w:space="0" w:color="auto"/>
            </w:tcBorders>
            <w:shd w:val="clear" w:color="auto" w:fill="auto"/>
            <w:tcMar>
              <w:left w:w="100" w:type="dxa"/>
              <w:right w:w="100" w:type="dxa"/>
            </w:tcMar>
          </w:tcPr>
          <w:p w14:paraId="0013CBED" w14:textId="1DCAEFCC" w:rsidR="00240B49" w:rsidRPr="007078D9" w:rsidRDefault="00707DFF" w:rsidP="00240B49">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(0.73)</w:t>
            </w:r>
          </w:p>
        </w:tc>
        <w:tc>
          <w:tcPr>
            <w:tcW w:w="1201" w:type="dxa"/>
            <w:tcBorders>
              <w:bottom w:val="single" w:sz="4" w:space="0" w:color="auto"/>
            </w:tcBorders>
            <w:shd w:val="clear" w:color="auto" w:fill="auto"/>
            <w:tcMar>
              <w:left w:w="100" w:type="dxa"/>
              <w:right w:w="100" w:type="dxa"/>
            </w:tcMar>
          </w:tcPr>
          <w:p w14:paraId="128303C4" w14:textId="77777777" w:rsidR="00240B49" w:rsidRPr="007078D9" w:rsidRDefault="00240B49" w:rsidP="00240B49">
            <w:pPr>
              <w:pStyle w:val="NormalWeb"/>
              <w:spacing w:before="40" w:beforeAutospacing="0" w:after="40" w:afterAutospacing="0" w:line="240" w:lineRule="auto"/>
              <w:contextualSpacing/>
              <w:jc w:val="center"/>
              <w:rPr>
                <w:rFonts w:eastAsia="Calibri Light" w:cs="Calibri"/>
                <w:sz w:val="18"/>
                <w:szCs w:val="18"/>
                <w:lang w:val="en-US"/>
              </w:rPr>
            </w:pPr>
          </w:p>
        </w:tc>
      </w:tr>
      <w:tr w:rsidR="002F7440" w:rsidRPr="003348F5" w14:paraId="256537C4" w14:textId="77777777" w:rsidTr="00420F29">
        <w:tc>
          <w:tcPr>
            <w:tcW w:w="6630" w:type="dxa"/>
            <w:gridSpan w:val="6"/>
            <w:tcBorders>
              <w:top w:val="single" w:sz="4" w:space="0" w:color="auto"/>
              <w:bottom w:val="single" w:sz="4" w:space="0" w:color="auto"/>
            </w:tcBorders>
            <w:shd w:val="clear" w:color="auto" w:fill="auto"/>
            <w:tcMar>
              <w:left w:w="100" w:type="dxa"/>
              <w:right w:w="100" w:type="dxa"/>
            </w:tcMar>
          </w:tcPr>
          <w:p w14:paraId="291BAA69" w14:textId="5BA89A99" w:rsidR="002F7440" w:rsidRPr="007078D9" w:rsidRDefault="002F7440" w:rsidP="002F7440">
            <w:pPr>
              <w:pStyle w:val="NormalWeb"/>
              <w:spacing w:before="40" w:beforeAutospacing="0" w:after="40" w:afterAutospacing="0" w:line="240" w:lineRule="auto"/>
              <w:contextualSpacing/>
              <w:jc w:val="both"/>
              <w:rPr>
                <w:rFonts w:eastAsia="Calibri Light" w:cs="Calibri"/>
                <w:sz w:val="18"/>
                <w:szCs w:val="18"/>
                <w:lang w:val="en-US"/>
              </w:rPr>
            </w:pPr>
            <w:r w:rsidRPr="002F7440">
              <w:rPr>
                <w:rFonts w:eastAsia="Calibri Light" w:cs="Calibri"/>
                <w:b/>
                <w:bCs/>
                <w:sz w:val="18"/>
                <w:szCs w:val="18"/>
                <w:lang w:val="en-US"/>
              </w:rPr>
              <w:t>Notes:</w:t>
            </w:r>
            <w:r>
              <w:rPr>
                <w:rFonts w:eastAsia="Calibri Light" w:cs="Calibri"/>
                <w:sz w:val="18"/>
                <w:szCs w:val="18"/>
                <w:lang w:val="en-US"/>
              </w:rPr>
              <w:t xml:space="preserve"> </w:t>
            </w:r>
            <w:r w:rsidR="009B3DA6" w:rsidRPr="009B3DA6">
              <w:rPr>
                <w:rFonts w:eastAsia="Calibri Light" w:cs="Calibri"/>
                <w:sz w:val="18"/>
                <w:szCs w:val="18"/>
                <w:lang w:val="en-US"/>
              </w:rPr>
              <w:t>This table presents the Pearson correlation for the dependent, independent</w:t>
            </w:r>
            <w:r w:rsidR="009B3DA6">
              <w:rPr>
                <w:rFonts w:eastAsia="Calibri Light" w:cs="Calibri"/>
                <w:sz w:val="18"/>
                <w:szCs w:val="18"/>
                <w:lang w:val="en-US"/>
              </w:rPr>
              <w:t>,</w:t>
            </w:r>
            <w:r w:rsidR="009B3DA6" w:rsidRPr="009B3DA6">
              <w:rPr>
                <w:rFonts w:eastAsia="Calibri Light" w:cs="Calibri"/>
                <w:sz w:val="18"/>
                <w:szCs w:val="18"/>
                <w:lang w:val="en-US"/>
              </w:rPr>
              <w:t xml:space="preserve"> and moderating variables. The sample consists of Islamic Banks listed on the Indonesia Stock Exchange from 2014 to 2020. ** &amp; ***, showing a significance level of 5% and 1%, respectively.</w:t>
            </w:r>
          </w:p>
        </w:tc>
      </w:tr>
    </w:tbl>
    <w:p w14:paraId="4A0B6251" w14:textId="7AFA4C88" w:rsidR="000F3E00" w:rsidRDefault="002F7440" w:rsidP="00322E93">
      <w:pPr>
        <w:pStyle w:val="ISI"/>
        <w:ind w:firstLine="0"/>
        <w:rPr>
          <w:rFonts w:ascii="Calibri" w:hAnsi="Calibri" w:cs="Calibri"/>
          <w:sz w:val="20"/>
          <w:szCs w:val="20"/>
          <w:lang w:val="en-US"/>
        </w:rPr>
      </w:pPr>
      <w:proofErr w:type="spellStart"/>
      <w:r w:rsidRPr="002F7440">
        <w:rPr>
          <w:rFonts w:ascii="Calibri" w:hAnsi="Calibri" w:cs="Calibri"/>
          <w:sz w:val="20"/>
          <w:szCs w:val="20"/>
          <w:lang w:val="en-US"/>
        </w:rPr>
        <w:t>Sumber</w:t>
      </w:r>
      <w:proofErr w:type="spellEnd"/>
      <w:r w:rsidRPr="002F7440">
        <w:rPr>
          <w:rFonts w:ascii="Calibri" w:hAnsi="Calibri" w:cs="Calibri"/>
          <w:sz w:val="20"/>
          <w:szCs w:val="20"/>
          <w:lang w:val="en-US"/>
        </w:rPr>
        <w:t xml:space="preserve">: data </w:t>
      </w:r>
      <w:proofErr w:type="spellStart"/>
      <w:r w:rsidRPr="002F7440">
        <w:rPr>
          <w:rFonts w:ascii="Calibri" w:hAnsi="Calibri" w:cs="Calibri"/>
          <w:sz w:val="20"/>
          <w:szCs w:val="20"/>
          <w:lang w:val="en-US"/>
        </w:rPr>
        <w:t>diolah</w:t>
      </w:r>
      <w:proofErr w:type="spellEnd"/>
      <w:r w:rsidRPr="002F7440">
        <w:rPr>
          <w:rFonts w:ascii="Calibri" w:hAnsi="Calibri" w:cs="Calibri"/>
          <w:sz w:val="20"/>
          <w:szCs w:val="20"/>
          <w:lang w:val="en-US"/>
        </w:rPr>
        <w:t xml:space="preserve"> </w:t>
      </w:r>
      <w:proofErr w:type="spellStart"/>
      <w:r w:rsidRPr="002F7440">
        <w:rPr>
          <w:rFonts w:ascii="Calibri" w:hAnsi="Calibri" w:cs="Calibri"/>
          <w:sz w:val="20"/>
          <w:szCs w:val="20"/>
          <w:lang w:val="en-US"/>
        </w:rPr>
        <w:t>peneliti</w:t>
      </w:r>
      <w:proofErr w:type="spellEnd"/>
      <w:r w:rsidRPr="002F7440">
        <w:rPr>
          <w:rFonts w:ascii="Calibri" w:hAnsi="Calibri" w:cs="Calibri"/>
          <w:sz w:val="20"/>
          <w:szCs w:val="20"/>
          <w:lang w:val="en-US"/>
        </w:rPr>
        <w:t>, 2022</w:t>
      </w:r>
    </w:p>
    <w:p w14:paraId="70357F19" w14:textId="5478215A" w:rsidR="00913401" w:rsidRDefault="009B3DA6" w:rsidP="009B3DA6">
      <w:pPr>
        <w:pStyle w:val="ISI"/>
        <w:ind w:firstLine="426"/>
        <w:rPr>
          <w:rFonts w:cs="Calibri"/>
          <w:lang w:val="en-US"/>
        </w:rPr>
      </w:pPr>
      <w:r w:rsidRPr="009B3DA6">
        <w:rPr>
          <w:rFonts w:cs="Calibri"/>
          <w:lang w:val="en-US"/>
        </w:rPr>
        <w:t xml:space="preserve">Simple linear regression testing on model 1 and model 2 </w:t>
      </w:r>
      <w:r>
        <w:rPr>
          <w:rFonts w:cs="Calibri"/>
          <w:lang w:val="en-US"/>
        </w:rPr>
        <w:t>examines</w:t>
      </w:r>
      <w:r w:rsidRPr="009B3DA6">
        <w:rPr>
          <w:rFonts w:cs="Calibri"/>
          <w:lang w:val="en-US"/>
        </w:rPr>
        <w:t xml:space="preserve"> the effect of intellectual capital and zakat performance ratio on ROA and the effect of intellectual capital and zakat performance ratio on ROE in table 3 and table 5. The effect of intellectual capital on ROA obtains a t value of 4.83 with a value of 4.83 significance of 0.00 (sig &lt;1%), this indicates that intellectual capital has a positive effect on ROA, </w:t>
      </w:r>
      <w:r w:rsidRPr="009B3DA6">
        <w:rPr>
          <w:rFonts w:cs="Calibri"/>
          <w:b/>
          <w:bCs/>
          <w:lang w:val="en-US"/>
        </w:rPr>
        <w:t>H1 is accepted</w:t>
      </w:r>
      <w:r w:rsidRPr="009B3DA6">
        <w:rPr>
          <w:rFonts w:cs="Calibri"/>
          <w:lang w:val="en-US"/>
        </w:rPr>
        <w:t>. The influence of intellectual capital on ROE obtained a t value of 3.56 with a significance value of 0.00 (sig &lt;1%), this indicates that intellectual</w:t>
      </w:r>
      <w:r>
        <w:rPr>
          <w:rFonts w:cs="Calibri"/>
          <w:lang w:val="en-US"/>
        </w:rPr>
        <w:t xml:space="preserve"> capital</w:t>
      </w:r>
      <w:r w:rsidRPr="009B3DA6">
        <w:rPr>
          <w:rFonts w:cs="Calibri"/>
          <w:lang w:val="en-US"/>
        </w:rPr>
        <w:t xml:space="preserve"> has a positive effect on ROE, </w:t>
      </w:r>
      <w:r w:rsidRPr="009B3DA6">
        <w:rPr>
          <w:rFonts w:cs="Calibri"/>
          <w:b/>
          <w:bCs/>
          <w:lang w:val="en-US"/>
        </w:rPr>
        <w:t>H2 is accepted</w:t>
      </w:r>
      <w:r w:rsidRPr="009B3DA6">
        <w:rPr>
          <w:rFonts w:cs="Calibri"/>
          <w:lang w:val="en-US"/>
        </w:rPr>
        <w:t xml:space="preserve">. The effect of </w:t>
      </w:r>
      <w:r>
        <w:rPr>
          <w:rFonts w:cs="Calibri"/>
          <w:lang w:val="en-US"/>
        </w:rPr>
        <w:t>Z</w:t>
      </w:r>
      <w:r w:rsidRPr="009B3DA6">
        <w:rPr>
          <w:rFonts w:cs="Calibri"/>
          <w:lang w:val="en-US"/>
        </w:rPr>
        <w:t xml:space="preserve">akat performing ratio on ROA has a t value of -0.41 with a significance value of 0.69 (sig&gt;10%), this indicates that </w:t>
      </w:r>
      <w:r>
        <w:rPr>
          <w:rFonts w:cs="Calibri"/>
          <w:lang w:val="en-US"/>
        </w:rPr>
        <w:t>Z</w:t>
      </w:r>
      <w:r w:rsidRPr="009B3DA6">
        <w:rPr>
          <w:rFonts w:cs="Calibri"/>
          <w:lang w:val="en-US"/>
        </w:rPr>
        <w:t xml:space="preserve">akat performing ratio has no effect on ROA, </w:t>
      </w:r>
      <w:r w:rsidRPr="009B3DA6">
        <w:rPr>
          <w:rFonts w:cs="Calibri"/>
          <w:b/>
          <w:bCs/>
          <w:lang w:val="en-US"/>
        </w:rPr>
        <w:t>H3 is rejected</w:t>
      </w:r>
      <w:r w:rsidRPr="009B3DA6">
        <w:rPr>
          <w:rFonts w:cs="Calibri"/>
          <w:lang w:val="en-US"/>
        </w:rPr>
        <w:t xml:space="preserve">. The effect of </w:t>
      </w:r>
      <w:r>
        <w:rPr>
          <w:rFonts w:cs="Calibri"/>
          <w:lang w:val="en-US"/>
        </w:rPr>
        <w:t>Z</w:t>
      </w:r>
      <w:r w:rsidRPr="009B3DA6">
        <w:rPr>
          <w:rFonts w:cs="Calibri"/>
          <w:lang w:val="en-US"/>
        </w:rPr>
        <w:t xml:space="preserve">akat performing ratio on ROE has a t value of -1.07 with a significance value of 0.29 (sig&gt;10%), this indicates that </w:t>
      </w:r>
      <w:r>
        <w:rPr>
          <w:rFonts w:cs="Calibri"/>
          <w:lang w:val="en-US"/>
        </w:rPr>
        <w:t>Z</w:t>
      </w:r>
      <w:r w:rsidRPr="009B3DA6">
        <w:rPr>
          <w:rFonts w:cs="Calibri"/>
          <w:lang w:val="en-US"/>
        </w:rPr>
        <w:t xml:space="preserve">akat performing ratio has no effect on ROE, </w:t>
      </w:r>
      <w:r w:rsidRPr="009B3DA6">
        <w:rPr>
          <w:rFonts w:cs="Calibri"/>
          <w:b/>
          <w:bCs/>
          <w:lang w:val="en-US"/>
        </w:rPr>
        <w:t>H4 is rejected</w:t>
      </w:r>
      <w:r w:rsidRPr="009B3DA6">
        <w:rPr>
          <w:rFonts w:cs="Calibri"/>
          <w:lang w:val="en-US"/>
        </w:rPr>
        <w:t>.</w:t>
      </w:r>
    </w:p>
    <w:p w14:paraId="0D772F32" w14:textId="28FF2D0A" w:rsidR="009B3DA6" w:rsidRDefault="009B3DA6" w:rsidP="00322E93">
      <w:pPr>
        <w:pStyle w:val="ISI"/>
        <w:ind w:firstLine="0"/>
        <w:rPr>
          <w:rFonts w:cs="Calibri"/>
          <w:lang w:val="en-US"/>
        </w:rPr>
      </w:pPr>
    </w:p>
    <w:p w14:paraId="606F9AB8" w14:textId="77777777" w:rsidR="00BF5210" w:rsidRPr="002132E7" w:rsidRDefault="00BF5210" w:rsidP="00322E93">
      <w:pPr>
        <w:pStyle w:val="ISI"/>
        <w:ind w:firstLine="0"/>
        <w:rPr>
          <w:rFonts w:cs="Calibri"/>
          <w:lang w:val="en-US"/>
        </w:rPr>
      </w:pPr>
    </w:p>
    <w:p w14:paraId="275EFC78" w14:textId="44A878E7" w:rsidR="002F7440" w:rsidRPr="002F7440" w:rsidRDefault="002F7440" w:rsidP="002F7440">
      <w:pPr>
        <w:pStyle w:val="ISI"/>
        <w:ind w:firstLine="0"/>
        <w:rPr>
          <w:rFonts w:ascii="Calibri" w:hAnsi="Calibri" w:cs="Calibri"/>
          <w:b/>
          <w:bCs/>
          <w:sz w:val="20"/>
          <w:szCs w:val="20"/>
          <w:lang w:val="en-US"/>
        </w:rPr>
      </w:pPr>
      <w:r w:rsidRPr="002F7440">
        <w:rPr>
          <w:rFonts w:ascii="Calibri" w:hAnsi="Calibri" w:cs="Calibri"/>
          <w:b/>
          <w:bCs/>
          <w:sz w:val="20"/>
          <w:szCs w:val="20"/>
          <w:lang w:val="en-US"/>
        </w:rPr>
        <w:t xml:space="preserve">Table </w:t>
      </w:r>
      <w:r>
        <w:rPr>
          <w:rFonts w:ascii="Calibri" w:hAnsi="Calibri" w:cs="Calibri"/>
          <w:b/>
          <w:bCs/>
          <w:sz w:val="20"/>
          <w:szCs w:val="20"/>
          <w:lang w:val="en-US"/>
        </w:rPr>
        <w:t>3</w:t>
      </w:r>
      <w:r w:rsidRPr="002F7440">
        <w:rPr>
          <w:rFonts w:ascii="Calibri" w:hAnsi="Calibri" w:cs="Calibri"/>
          <w:b/>
          <w:bCs/>
          <w:sz w:val="20"/>
          <w:szCs w:val="20"/>
          <w:lang w:val="en-US"/>
        </w:rPr>
        <w:t>. Regression Analysis</w:t>
      </w:r>
      <w:r>
        <w:rPr>
          <w:rFonts w:ascii="Calibri" w:hAnsi="Calibri" w:cs="Calibri"/>
          <w:b/>
          <w:bCs/>
          <w:sz w:val="20"/>
          <w:szCs w:val="20"/>
          <w:lang w:val="en-US"/>
        </w:rPr>
        <w:t xml:space="preserve"> </w:t>
      </w:r>
    </w:p>
    <w:tbl>
      <w:tblPr>
        <w:tblW w:w="6563" w:type="dxa"/>
        <w:tblInd w:w="100" w:type="dxa"/>
        <w:tblLayout w:type="fixed"/>
        <w:tblCellMar>
          <w:left w:w="0" w:type="dxa"/>
          <w:right w:w="0" w:type="dxa"/>
        </w:tblCellMar>
        <w:tblLook w:val="04A0" w:firstRow="1" w:lastRow="0" w:firstColumn="1" w:lastColumn="0" w:noHBand="0" w:noVBand="1"/>
      </w:tblPr>
      <w:tblGrid>
        <w:gridCol w:w="2340"/>
        <w:gridCol w:w="2380"/>
        <w:gridCol w:w="1843"/>
      </w:tblGrid>
      <w:tr w:rsidR="00666D59" w:rsidRPr="003348F5" w14:paraId="609EF1D7" w14:textId="77777777" w:rsidTr="00666D59">
        <w:tc>
          <w:tcPr>
            <w:tcW w:w="2340" w:type="dxa"/>
            <w:vMerge w:val="restart"/>
            <w:tcBorders>
              <w:top w:val="single" w:sz="2" w:space="0" w:color="000000"/>
            </w:tcBorders>
            <w:shd w:val="clear" w:color="auto" w:fill="auto"/>
            <w:tcMar>
              <w:left w:w="100" w:type="dxa"/>
              <w:right w:w="100" w:type="dxa"/>
            </w:tcMar>
          </w:tcPr>
          <w:p w14:paraId="4EDD1A38" w14:textId="74E8232A" w:rsidR="00666D59" w:rsidRPr="003348F5" w:rsidRDefault="00666D59" w:rsidP="00271D3C">
            <w:pPr>
              <w:pStyle w:val="NormalWeb"/>
              <w:spacing w:before="40" w:after="40" w:line="240" w:lineRule="auto"/>
              <w:contextualSpacing/>
              <w:jc w:val="center"/>
              <w:rPr>
                <w:rFonts w:eastAsia="Calibri Light" w:cs="Calibri"/>
                <w:b/>
                <w:sz w:val="18"/>
                <w:szCs w:val="18"/>
              </w:rPr>
            </w:pPr>
            <w:r w:rsidRPr="003348F5">
              <w:rPr>
                <w:rFonts w:eastAsia="Calibri Light" w:cs="Calibri"/>
                <w:b/>
                <w:sz w:val="18"/>
                <w:szCs w:val="18"/>
              </w:rPr>
              <w:t>Variable</w:t>
            </w:r>
          </w:p>
        </w:tc>
        <w:tc>
          <w:tcPr>
            <w:tcW w:w="2380" w:type="dxa"/>
            <w:tcBorders>
              <w:top w:val="single" w:sz="2" w:space="0" w:color="000000"/>
            </w:tcBorders>
            <w:shd w:val="clear" w:color="auto" w:fill="auto"/>
            <w:tcMar>
              <w:left w:w="100" w:type="dxa"/>
              <w:right w:w="100" w:type="dxa"/>
            </w:tcMar>
          </w:tcPr>
          <w:p w14:paraId="1343B7AE" w14:textId="1E1CFD54" w:rsidR="00666D59" w:rsidRDefault="00666D59" w:rsidP="00271D3C">
            <w:pPr>
              <w:pStyle w:val="NormalWeb"/>
              <w:spacing w:before="40" w:beforeAutospacing="0" w:after="40" w:afterAutospacing="0" w:line="240" w:lineRule="auto"/>
              <w:contextualSpacing/>
              <w:jc w:val="center"/>
              <w:rPr>
                <w:rFonts w:eastAsia="Calibri Light" w:cs="Calibri"/>
                <w:b/>
                <w:sz w:val="18"/>
                <w:szCs w:val="18"/>
                <w:lang w:val="en-US"/>
              </w:rPr>
            </w:pPr>
            <w:r>
              <w:rPr>
                <w:rFonts w:eastAsia="Calibri Light" w:cs="Calibri"/>
                <w:b/>
                <w:sz w:val="18"/>
                <w:szCs w:val="18"/>
                <w:lang w:val="en-US"/>
              </w:rPr>
              <w:t>(1)</w:t>
            </w:r>
          </w:p>
        </w:tc>
        <w:tc>
          <w:tcPr>
            <w:tcW w:w="1843" w:type="dxa"/>
            <w:tcBorders>
              <w:top w:val="single" w:sz="2" w:space="0" w:color="000000"/>
            </w:tcBorders>
            <w:shd w:val="clear" w:color="auto" w:fill="auto"/>
            <w:tcMar>
              <w:left w:w="100" w:type="dxa"/>
              <w:right w:w="100" w:type="dxa"/>
            </w:tcMar>
          </w:tcPr>
          <w:p w14:paraId="27EA3FD1" w14:textId="0CC426CA" w:rsidR="00666D59" w:rsidRDefault="00666D59" w:rsidP="00271D3C">
            <w:pPr>
              <w:pStyle w:val="NormalWeb"/>
              <w:spacing w:before="40" w:beforeAutospacing="0" w:after="40" w:afterAutospacing="0" w:line="240" w:lineRule="auto"/>
              <w:contextualSpacing/>
              <w:jc w:val="center"/>
              <w:rPr>
                <w:rFonts w:eastAsia="Calibri Light" w:cs="Calibri"/>
                <w:b/>
                <w:sz w:val="18"/>
                <w:szCs w:val="18"/>
                <w:lang w:val="en-US"/>
              </w:rPr>
            </w:pPr>
            <w:r>
              <w:rPr>
                <w:rFonts w:eastAsia="Calibri Light" w:cs="Calibri"/>
                <w:b/>
                <w:sz w:val="18"/>
                <w:szCs w:val="18"/>
                <w:lang w:val="en-US"/>
              </w:rPr>
              <w:t>(2)</w:t>
            </w:r>
          </w:p>
        </w:tc>
      </w:tr>
      <w:tr w:rsidR="00666D59" w:rsidRPr="003348F5" w14:paraId="2317BD1C" w14:textId="77777777" w:rsidTr="00666D59">
        <w:tc>
          <w:tcPr>
            <w:tcW w:w="2340" w:type="dxa"/>
            <w:vMerge/>
            <w:tcBorders>
              <w:bottom w:val="single" w:sz="2" w:space="0" w:color="000000"/>
            </w:tcBorders>
            <w:shd w:val="clear" w:color="auto" w:fill="auto"/>
            <w:tcMar>
              <w:left w:w="100" w:type="dxa"/>
              <w:right w:w="100" w:type="dxa"/>
            </w:tcMar>
          </w:tcPr>
          <w:p w14:paraId="02085FB7" w14:textId="1DE4FDC5" w:rsidR="00666D59" w:rsidRPr="003348F5" w:rsidRDefault="00666D59" w:rsidP="00271D3C">
            <w:pPr>
              <w:pStyle w:val="NormalWeb"/>
              <w:spacing w:before="40" w:beforeAutospacing="0" w:after="40" w:afterAutospacing="0" w:line="240" w:lineRule="auto"/>
              <w:contextualSpacing/>
              <w:jc w:val="center"/>
              <w:rPr>
                <w:rFonts w:cs="Calibri"/>
                <w:sz w:val="18"/>
                <w:szCs w:val="18"/>
              </w:rPr>
            </w:pPr>
          </w:p>
        </w:tc>
        <w:tc>
          <w:tcPr>
            <w:tcW w:w="2380" w:type="dxa"/>
            <w:tcBorders>
              <w:bottom w:val="single" w:sz="2" w:space="0" w:color="000000"/>
            </w:tcBorders>
            <w:shd w:val="clear" w:color="auto" w:fill="auto"/>
            <w:tcMar>
              <w:left w:w="100" w:type="dxa"/>
              <w:right w:w="100" w:type="dxa"/>
            </w:tcMar>
          </w:tcPr>
          <w:p w14:paraId="164C93F9" w14:textId="77777777" w:rsidR="00666D59" w:rsidRPr="00240B49" w:rsidRDefault="00666D59" w:rsidP="00271D3C">
            <w:pPr>
              <w:pStyle w:val="NormalWeb"/>
              <w:spacing w:before="40" w:beforeAutospacing="0" w:after="40" w:afterAutospacing="0" w:line="240" w:lineRule="auto"/>
              <w:contextualSpacing/>
              <w:jc w:val="center"/>
              <w:rPr>
                <w:rFonts w:cs="Calibri"/>
                <w:sz w:val="18"/>
                <w:szCs w:val="18"/>
                <w:lang w:val="en-US"/>
              </w:rPr>
            </w:pPr>
            <w:r>
              <w:rPr>
                <w:rFonts w:eastAsia="Calibri Light" w:cs="Calibri"/>
                <w:b/>
                <w:sz w:val="18"/>
                <w:szCs w:val="18"/>
                <w:lang w:val="en-US"/>
              </w:rPr>
              <w:t>ROA</w:t>
            </w:r>
          </w:p>
        </w:tc>
        <w:tc>
          <w:tcPr>
            <w:tcW w:w="1843" w:type="dxa"/>
            <w:tcBorders>
              <w:bottom w:val="single" w:sz="2" w:space="0" w:color="000000"/>
            </w:tcBorders>
            <w:shd w:val="clear" w:color="auto" w:fill="auto"/>
            <w:tcMar>
              <w:left w:w="100" w:type="dxa"/>
              <w:right w:w="100" w:type="dxa"/>
            </w:tcMar>
          </w:tcPr>
          <w:p w14:paraId="12D57C8C" w14:textId="77777777" w:rsidR="00666D59" w:rsidRPr="00240B49" w:rsidRDefault="00666D59" w:rsidP="00271D3C">
            <w:pPr>
              <w:pStyle w:val="NormalWeb"/>
              <w:spacing w:before="40" w:beforeAutospacing="0" w:after="40" w:afterAutospacing="0" w:line="240" w:lineRule="auto"/>
              <w:contextualSpacing/>
              <w:jc w:val="center"/>
              <w:rPr>
                <w:rFonts w:cs="Calibri"/>
                <w:sz w:val="18"/>
                <w:szCs w:val="18"/>
                <w:lang w:val="en-US"/>
              </w:rPr>
            </w:pPr>
            <w:r>
              <w:rPr>
                <w:rFonts w:eastAsia="Calibri Light" w:cs="Calibri"/>
                <w:b/>
                <w:sz w:val="18"/>
                <w:szCs w:val="18"/>
                <w:lang w:val="en-US"/>
              </w:rPr>
              <w:t>ROE</w:t>
            </w:r>
          </w:p>
        </w:tc>
      </w:tr>
      <w:tr w:rsidR="002F7440" w:rsidRPr="003348F5" w14:paraId="4DAB2990" w14:textId="77777777" w:rsidTr="00271D3C">
        <w:tc>
          <w:tcPr>
            <w:tcW w:w="2340" w:type="dxa"/>
            <w:shd w:val="clear" w:color="auto" w:fill="auto"/>
            <w:tcMar>
              <w:left w:w="100" w:type="dxa"/>
              <w:right w:w="100" w:type="dxa"/>
            </w:tcMar>
          </w:tcPr>
          <w:p w14:paraId="60BEA221" w14:textId="77777777" w:rsidR="002F7440" w:rsidRPr="008515C4" w:rsidRDefault="002F7440"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IC</w:t>
            </w:r>
          </w:p>
        </w:tc>
        <w:tc>
          <w:tcPr>
            <w:tcW w:w="2380" w:type="dxa"/>
            <w:shd w:val="clear" w:color="auto" w:fill="auto"/>
            <w:tcMar>
              <w:left w:w="100" w:type="dxa"/>
              <w:right w:w="100" w:type="dxa"/>
            </w:tcMar>
          </w:tcPr>
          <w:p w14:paraId="0C5EA65B" w14:textId="5D5FE3B0" w:rsidR="002F7440" w:rsidRPr="008515C4" w:rsidRDefault="00BF6C9F"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0.49***</w:t>
            </w:r>
          </w:p>
        </w:tc>
        <w:tc>
          <w:tcPr>
            <w:tcW w:w="1843" w:type="dxa"/>
            <w:shd w:val="clear" w:color="auto" w:fill="auto"/>
            <w:tcMar>
              <w:left w:w="100" w:type="dxa"/>
              <w:right w:w="100" w:type="dxa"/>
            </w:tcMar>
          </w:tcPr>
          <w:p w14:paraId="2620A6C9" w14:textId="46F237DD" w:rsidR="002F7440" w:rsidRPr="008515C4" w:rsidRDefault="002F7440"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w:t>
            </w:r>
            <w:r w:rsidR="00BF6C9F">
              <w:rPr>
                <w:rFonts w:cs="Calibri"/>
                <w:sz w:val="18"/>
                <w:szCs w:val="18"/>
                <w:lang w:val="en-US"/>
              </w:rPr>
              <w:t>38***</w:t>
            </w:r>
          </w:p>
        </w:tc>
      </w:tr>
      <w:tr w:rsidR="002F7440" w:rsidRPr="003348F5" w14:paraId="3C82BB08" w14:textId="77777777" w:rsidTr="00271D3C">
        <w:tc>
          <w:tcPr>
            <w:tcW w:w="2340" w:type="dxa"/>
            <w:shd w:val="clear" w:color="auto" w:fill="auto"/>
            <w:tcMar>
              <w:left w:w="100" w:type="dxa"/>
              <w:right w:w="100" w:type="dxa"/>
            </w:tcMar>
          </w:tcPr>
          <w:p w14:paraId="3A664A29" w14:textId="77777777" w:rsidR="002F7440" w:rsidRDefault="002F7440" w:rsidP="00271D3C">
            <w:pPr>
              <w:pStyle w:val="NormalWeb"/>
              <w:spacing w:before="40" w:beforeAutospacing="0" w:after="40" w:afterAutospacing="0" w:line="240" w:lineRule="auto"/>
              <w:contextualSpacing/>
              <w:rPr>
                <w:rFonts w:cs="Calibri"/>
                <w:sz w:val="18"/>
                <w:szCs w:val="18"/>
                <w:lang w:val="en-US"/>
              </w:rPr>
            </w:pPr>
          </w:p>
        </w:tc>
        <w:tc>
          <w:tcPr>
            <w:tcW w:w="2380" w:type="dxa"/>
            <w:shd w:val="clear" w:color="auto" w:fill="auto"/>
            <w:tcMar>
              <w:left w:w="100" w:type="dxa"/>
              <w:right w:w="100" w:type="dxa"/>
            </w:tcMar>
          </w:tcPr>
          <w:p w14:paraId="0137E05D" w14:textId="53F20DAA" w:rsidR="002F7440" w:rsidRPr="008515C4" w:rsidRDefault="002F7440"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w:t>
            </w:r>
            <w:r w:rsidR="00BF6C9F">
              <w:rPr>
                <w:rFonts w:cs="Calibri"/>
                <w:sz w:val="18"/>
                <w:szCs w:val="18"/>
                <w:lang w:val="en-US"/>
              </w:rPr>
              <w:t>4.83</w:t>
            </w:r>
            <w:r>
              <w:rPr>
                <w:rFonts w:cs="Calibri"/>
                <w:sz w:val="18"/>
                <w:szCs w:val="18"/>
                <w:lang w:val="en-US"/>
              </w:rPr>
              <w:t>)</w:t>
            </w:r>
          </w:p>
        </w:tc>
        <w:tc>
          <w:tcPr>
            <w:tcW w:w="1843" w:type="dxa"/>
            <w:shd w:val="clear" w:color="auto" w:fill="auto"/>
            <w:tcMar>
              <w:left w:w="100" w:type="dxa"/>
              <w:right w:w="100" w:type="dxa"/>
            </w:tcMar>
          </w:tcPr>
          <w:p w14:paraId="57A6FE9D" w14:textId="48D543F5" w:rsidR="002F7440" w:rsidRPr="008515C4" w:rsidRDefault="002F7440"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w:t>
            </w:r>
            <w:r w:rsidR="00BF6C9F">
              <w:rPr>
                <w:rFonts w:cs="Calibri"/>
                <w:sz w:val="18"/>
                <w:szCs w:val="18"/>
                <w:lang w:val="en-US"/>
              </w:rPr>
              <w:t>3.56</w:t>
            </w:r>
            <w:r>
              <w:rPr>
                <w:rFonts w:cs="Calibri"/>
                <w:sz w:val="18"/>
                <w:szCs w:val="18"/>
                <w:lang w:val="en-US"/>
              </w:rPr>
              <w:t>)</w:t>
            </w:r>
          </w:p>
        </w:tc>
      </w:tr>
      <w:tr w:rsidR="002F7440" w:rsidRPr="003348F5" w14:paraId="53C3C8BA" w14:textId="77777777" w:rsidTr="00271D3C">
        <w:tc>
          <w:tcPr>
            <w:tcW w:w="2340" w:type="dxa"/>
            <w:shd w:val="clear" w:color="auto" w:fill="auto"/>
            <w:tcMar>
              <w:left w:w="100" w:type="dxa"/>
              <w:right w:w="100" w:type="dxa"/>
            </w:tcMar>
          </w:tcPr>
          <w:p w14:paraId="7E4DF9B8" w14:textId="77777777" w:rsidR="002F7440" w:rsidRDefault="002F7440"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ZPR</w:t>
            </w:r>
          </w:p>
        </w:tc>
        <w:tc>
          <w:tcPr>
            <w:tcW w:w="2380" w:type="dxa"/>
            <w:shd w:val="clear" w:color="auto" w:fill="auto"/>
            <w:tcMar>
              <w:left w:w="100" w:type="dxa"/>
              <w:right w:w="100" w:type="dxa"/>
            </w:tcMar>
          </w:tcPr>
          <w:p w14:paraId="1072038E" w14:textId="68EDDB5B" w:rsidR="002F7440" w:rsidRPr="008515C4"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w:t>
            </w:r>
            <w:r w:rsidR="00BF6C9F">
              <w:rPr>
                <w:rFonts w:eastAsia="Calibri Light" w:cs="Calibri"/>
                <w:sz w:val="18"/>
                <w:szCs w:val="18"/>
                <w:lang w:val="en-US"/>
              </w:rPr>
              <w:t>04</w:t>
            </w:r>
          </w:p>
        </w:tc>
        <w:tc>
          <w:tcPr>
            <w:tcW w:w="1843" w:type="dxa"/>
            <w:shd w:val="clear" w:color="auto" w:fill="auto"/>
            <w:tcMar>
              <w:left w:w="100" w:type="dxa"/>
              <w:right w:w="100" w:type="dxa"/>
            </w:tcMar>
          </w:tcPr>
          <w:p w14:paraId="00FF0DDF" w14:textId="77777777" w:rsidR="002F7440" w:rsidRPr="008515C4"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-0.12</w:t>
            </w:r>
          </w:p>
        </w:tc>
      </w:tr>
      <w:tr w:rsidR="002F7440" w:rsidRPr="003348F5" w14:paraId="035A1455" w14:textId="77777777" w:rsidTr="00271D3C">
        <w:tc>
          <w:tcPr>
            <w:tcW w:w="2340" w:type="dxa"/>
            <w:shd w:val="clear" w:color="auto" w:fill="auto"/>
            <w:tcMar>
              <w:left w:w="100" w:type="dxa"/>
              <w:right w:w="100" w:type="dxa"/>
            </w:tcMar>
          </w:tcPr>
          <w:p w14:paraId="18F86190" w14:textId="77777777" w:rsidR="002F7440" w:rsidRDefault="002F7440" w:rsidP="00271D3C">
            <w:pPr>
              <w:pStyle w:val="NormalWeb"/>
              <w:spacing w:before="40" w:beforeAutospacing="0" w:after="40" w:afterAutospacing="0" w:line="240" w:lineRule="auto"/>
              <w:contextualSpacing/>
              <w:rPr>
                <w:rFonts w:cs="Calibri"/>
                <w:sz w:val="18"/>
                <w:szCs w:val="18"/>
                <w:lang w:val="en-US"/>
              </w:rPr>
            </w:pPr>
          </w:p>
        </w:tc>
        <w:tc>
          <w:tcPr>
            <w:tcW w:w="2380" w:type="dxa"/>
            <w:shd w:val="clear" w:color="auto" w:fill="auto"/>
            <w:tcMar>
              <w:left w:w="100" w:type="dxa"/>
              <w:right w:w="100" w:type="dxa"/>
            </w:tcMar>
          </w:tcPr>
          <w:p w14:paraId="0BC39606" w14:textId="6FFC5634" w:rsidR="002F7440" w:rsidRPr="008515C4"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w:t>
            </w:r>
            <w:r w:rsidR="00BF6C9F">
              <w:rPr>
                <w:rFonts w:eastAsia="Calibri Light" w:cs="Calibri"/>
                <w:sz w:val="18"/>
                <w:szCs w:val="18"/>
                <w:lang w:val="en-US"/>
              </w:rPr>
              <w:t>0.41</w:t>
            </w:r>
            <w:r>
              <w:rPr>
                <w:rFonts w:eastAsia="Calibri Light" w:cs="Calibri"/>
                <w:sz w:val="18"/>
                <w:szCs w:val="18"/>
                <w:lang w:val="en-US"/>
              </w:rPr>
              <w:t>)</w:t>
            </w:r>
          </w:p>
        </w:tc>
        <w:tc>
          <w:tcPr>
            <w:tcW w:w="1843" w:type="dxa"/>
            <w:shd w:val="clear" w:color="auto" w:fill="auto"/>
            <w:tcMar>
              <w:left w:w="100" w:type="dxa"/>
              <w:right w:w="100" w:type="dxa"/>
            </w:tcMar>
          </w:tcPr>
          <w:p w14:paraId="695F2D4F" w14:textId="425F22BA" w:rsidR="002F7440" w:rsidRPr="008515C4"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w:t>
            </w:r>
            <w:r w:rsidR="00BF6C9F">
              <w:rPr>
                <w:rFonts w:eastAsia="Calibri Light" w:cs="Calibri"/>
                <w:sz w:val="18"/>
                <w:szCs w:val="18"/>
                <w:lang w:val="en-US"/>
              </w:rPr>
              <w:t>1.07</w:t>
            </w:r>
            <w:r>
              <w:rPr>
                <w:rFonts w:eastAsia="Calibri Light" w:cs="Calibri"/>
                <w:sz w:val="18"/>
                <w:szCs w:val="18"/>
                <w:lang w:val="en-US"/>
              </w:rPr>
              <w:t>)</w:t>
            </w:r>
          </w:p>
        </w:tc>
      </w:tr>
      <w:tr w:rsidR="002F7440" w:rsidRPr="003348F5" w14:paraId="3765C380" w14:textId="77777777" w:rsidTr="00271D3C">
        <w:tc>
          <w:tcPr>
            <w:tcW w:w="2340" w:type="dxa"/>
            <w:shd w:val="clear" w:color="auto" w:fill="auto"/>
            <w:tcMar>
              <w:left w:w="100" w:type="dxa"/>
              <w:right w:w="100" w:type="dxa"/>
            </w:tcMar>
          </w:tcPr>
          <w:p w14:paraId="31CAB22F" w14:textId="59D26D2D" w:rsidR="002F7440" w:rsidRDefault="002F7440"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R</w:t>
            </w:r>
            <w:r w:rsidRPr="002F7440">
              <w:rPr>
                <w:rFonts w:cs="Calibri"/>
                <w:sz w:val="18"/>
                <w:szCs w:val="18"/>
                <w:vertAlign w:val="superscript"/>
                <w:lang w:val="en-US"/>
              </w:rPr>
              <w:t>2</w:t>
            </w:r>
          </w:p>
        </w:tc>
        <w:tc>
          <w:tcPr>
            <w:tcW w:w="2380" w:type="dxa"/>
            <w:shd w:val="clear" w:color="auto" w:fill="auto"/>
            <w:tcMar>
              <w:left w:w="100" w:type="dxa"/>
              <w:right w:w="100" w:type="dxa"/>
            </w:tcMar>
          </w:tcPr>
          <w:p w14:paraId="48227C7B" w14:textId="641DBB4E" w:rsidR="002F7440" w:rsidRPr="008515C4" w:rsidRDefault="00BF6C9F"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0.24</w:t>
            </w:r>
          </w:p>
        </w:tc>
        <w:tc>
          <w:tcPr>
            <w:tcW w:w="1843" w:type="dxa"/>
            <w:shd w:val="clear" w:color="auto" w:fill="auto"/>
            <w:tcMar>
              <w:left w:w="100" w:type="dxa"/>
              <w:right w:w="100" w:type="dxa"/>
            </w:tcMar>
          </w:tcPr>
          <w:p w14:paraId="6E0E587E" w14:textId="12B5DAE0" w:rsidR="002F7440" w:rsidRPr="008515C4" w:rsidRDefault="00BF6C9F"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0.15</w:t>
            </w:r>
          </w:p>
        </w:tc>
      </w:tr>
      <w:tr w:rsidR="002F7440" w:rsidRPr="003348F5" w14:paraId="01202C3B" w14:textId="77777777" w:rsidTr="00271D3C">
        <w:tc>
          <w:tcPr>
            <w:tcW w:w="2340" w:type="dxa"/>
            <w:shd w:val="clear" w:color="auto" w:fill="auto"/>
            <w:tcMar>
              <w:left w:w="100" w:type="dxa"/>
              <w:right w:w="100" w:type="dxa"/>
            </w:tcMar>
          </w:tcPr>
          <w:p w14:paraId="4370C8E3" w14:textId="71FD15F1" w:rsidR="002F7440" w:rsidRPr="002F7440" w:rsidRDefault="002F7440"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R</w:t>
            </w:r>
            <w:r w:rsidRPr="002F7440">
              <w:rPr>
                <w:rFonts w:cs="Calibri"/>
                <w:sz w:val="18"/>
                <w:szCs w:val="18"/>
                <w:vertAlign w:val="superscript"/>
                <w:lang w:val="en-US"/>
              </w:rPr>
              <w:t>2</w:t>
            </w:r>
            <w:r>
              <w:rPr>
                <w:rFonts w:cs="Calibri"/>
                <w:sz w:val="18"/>
                <w:szCs w:val="18"/>
                <w:lang w:val="en-US"/>
              </w:rPr>
              <w:t>_a</w:t>
            </w:r>
          </w:p>
        </w:tc>
        <w:tc>
          <w:tcPr>
            <w:tcW w:w="2380" w:type="dxa"/>
            <w:shd w:val="clear" w:color="auto" w:fill="auto"/>
            <w:tcMar>
              <w:left w:w="100" w:type="dxa"/>
              <w:right w:w="100" w:type="dxa"/>
            </w:tcMar>
          </w:tcPr>
          <w:p w14:paraId="58D7863A" w14:textId="13307899" w:rsidR="002F7440"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w:t>
            </w:r>
            <w:r w:rsidR="00BF6C9F">
              <w:rPr>
                <w:rFonts w:eastAsia="Calibri Light" w:cs="Calibri"/>
                <w:sz w:val="18"/>
                <w:szCs w:val="18"/>
                <w:lang w:val="en-US"/>
              </w:rPr>
              <w:t>22</w:t>
            </w:r>
          </w:p>
        </w:tc>
        <w:tc>
          <w:tcPr>
            <w:tcW w:w="1843" w:type="dxa"/>
            <w:shd w:val="clear" w:color="auto" w:fill="auto"/>
            <w:tcMar>
              <w:left w:w="100" w:type="dxa"/>
              <w:right w:w="100" w:type="dxa"/>
            </w:tcMar>
          </w:tcPr>
          <w:p w14:paraId="5F455023" w14:textId="213E0C1C" w:rsidR="002F7440"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w:t>
            </w:r>
            <w:r w:rsidR="00BF6C9F">
              <w:rPr>
                <w:rFonts w:eastAsia="Calibri Light" w:cs="Calibri"/>
                <w:sz w:val="18"/>
                <w:szCs w:val="18"/>
                <w:lang w:val="en-US"/>
              </w:rPr>
              <w:t>13</w:t>
            </w:r>
          </w:p>
        </w:tc>
      </w:tr>
      <w:tr w:rsidR="002F7440" w:rsidRPr="003348F5" w14:paraId="657817E0" w14:textId="77777777" w:rsidTr="00420F29">
        <w:tc>
          <w:tcPr>
            <w:tcW w:w="2340" w:type="dxa"/>
            <w:tcBorders>
              <w:bottom w:val="single" w:sz="4" w:space="0" w:color="auto"/>
            </w:tcBorders>
            <w:shd w:val="clear" w:color="auto" w:fill="auto"/>
            <w:tcMar>
              <w:left w:w="100" w:type="dxa"/>
              <w:right w:w="100" w:type="dxa"/>
            </w:tcMar>
          </w:tcPr>
          <w:p w14:paraId="035D96CE" w14:textId="77777777" w:rsidR="002F7440" w:rsidRDefault="002F7440"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N</w:t>
            </w:r>
          </w:p>
        </w:tc>
        <w:tc>
          <w:tcPr>
            <w:tcW w:w="2380" w:type="dxa"/>
            <w:tcBorders>
              <w:bottom w:val="single" w:sz="4" w:space="0" w:color="auto"/>
            </w:tcBorders>
            <w:shd w:val="clear" w:color="auto" w:fill="auto"/>
            <w:tcMar>
              <w:left w:w="100" w:type="dxa"/>
              <w:right w:w="100" w:type="dxa"/>
            </w:tcMar>
          </w:tcPr>
          <w:p w14:paraId="386F1868" w14:textId="77777777" w:rsidR="002F7440"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77</w:t>
            </w:r>
          </w:p>
        </w:tc>
        <w:tc>
          <w:tcPr>
            <w:tcW w:w="1843" w:type="dxa"/>
            <w:tcBorders>
              <w:bottom w:val="single" w:sz="4" w:space="0" w:color="auto"/>
            </w:tcBorders>
            <w:shd w:val="clear" w:color="auto" w:fill="auto"/>
            <w:tcMar>
              <w:left w:w="100" w:type="dxa"/>
              <w:right w:w="100" w:type="dxa"/>
            </w:tcMar>
          </w:tcPr>
          <w:p w14:paraId="190810C5" w14:textId="77777777" w:rsidR="002F7440"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77</w:t>
            </w:r>
          </w:p>
        </w:tc>
      </w:tr>
      <w:tr w:rsidR="00BF6C9F" w:rsidRPr="003348F5" w14:paraId="7D5C9FF8" w14:textId="77777777" w:rsidTr="00420F29">
        <w:tc>
          <w:tcPr>
            <w:tcW w:w="6563" w:type="dxa"/>
            <w:gridSpan w:val="3"/>
            <w:tcBorders>
              <w:top w:val="single" w:sz="4" w:space="0" w:color="auto"/>
              <w:bottom w:val="single" w:sz="4" w:space="0" w:color="auto"/>
            </w:tcBorders>
            <w:shd w:val="clear" w:color="auto" w:fill="auto"/>
            <w:tcMar>
              <w:left w:w="100" w:type="dxa"/>
              <w:right w:w="100" w:type="dxa"/>
            </w:tcMar>
          </w:tcPr>
          <w:p w14:paraId="6BD59FB4" w14:textId="41181732" w:rsidR="00BF6C9F" w:rsidRDefault="00BF6C9F" w:rsidP="00BF6C9F">
            <w:pPr>
              <w:pStyle w:val="NormalWeb"/>
              <w:spacing w:before="40" w:beforeAutospacing="0" w:after="40" w:afterAutospacing="0" w:line="240" w:lineRule="auto"/>
              <w:contextualSpacing/>
              <w:jc w:val="both"/>
              <w:rPr>
                <w:rFonts w:eastAsia="Calibri Light" w:cs="Calibri"/>
                <w:sz w:val="18"/>
                <w:szCs w:val="18"/>
                <w:lang w:val="en-US"/>
              </w:rPr>
            </w:pPr>
            <w:r w:rsidRPr="002F7440">
              <w:rPr>
                <w:rFonts w:eastAsia="Calibri Light" w:cs="Calibri"/>
                <w:b/>
                <w:bCs/>
                <w:sz w:val="18"/>
                <w:szCs w:val="18"/>
                <w:lang w:val="en-US"/>
              </w:rPr>
              <w:t>Notes:</w:t>
            </w:r>
            <w:r>
              <w:rPr>
                <w:rFonts w:eastAsia="Calibri Light" w:cs="Calibri"/>
                <w:sz w:val="18"/>
                <w:szCs w:val="18"/>
                <w:lang w:val="en-US"/>
              </w:rPr>
              <w:t xml:space="preserve"> </w:t>
            </w:r>
            <w:proofErr w:type="spellStart"/>
            <w:r>
              <w:rPr>
                <w:rFonts w:eastAsia="Calibri Light" w:cs="Calibri"/>
                <w:sz w:val="18"/>
                <w:szCs w:val="18"/>
                <w:lang w:val="en-US"/>
              </w:rPr>
              <w:t>Tabel</w:t>
            </w:r>
            <w:proofErr w:type="spellEnd"/>
            <w:r>
              <w:rPr>
                <w:rFonts w:eastAsia="Calibri Light" w:cs="Calibri"/>
                <w:sz w:val="18"/>
                <w:szCs w:val="18"/>
                <w:lang w:val="en-US"/>
              </w:rPr>
              <w:t xml:space="preserve"> </w:t>
            </w:r>
            <w:proofErr w:type="spellStart"/>
            <w:r>
              <w:rPr>
                <w:rFonts w:eastAsia="Calibri Light" w:cs="Calibri"/>
                <w:sz w:val="18"/>
                <w:szCs w:val="18"/>
                <w:lang w:val="en-US"/>
              </w:rPr>
              <w:t>ini</w:t>
            </w:r>
            <w:proofErr w:type="spellEnd"/>
            <w:r>
              <w:rPr>
                <w:rFonts w:eastAsia="Calibri Light" w:cs="Calibri"/>
                <w:sz w:val="18"/>
                <w:szCs w:val="18"/>
                <w:lang w:val="en-US"/>
              </w:rPr>
              <w:t xml:space="preserve"> </w:t>
            </w:r>
            <w:proofErr w:type="spellStart"/>
            <w:r>
              <w:rPr>
                <w:rFonts w:eastAsia="Calibri Light" w:cs="Calibri"/>
                <w:sz w:val="18"/>
                <w:szCs w:val="18"/>
                <w:lang w:val="en-US"/>
              </w:rPr>
              <w:t>menyajikan</w:t>
            </w:r>
            <w:proofErr w:type="spellEnd"/>
            <w:r>
              <w:rPr>
                <w:rFonts w:eastAsia="Calibri Light" w:cs="Calibri"/>
                <w:sz w:val="18"/>
                <w:szCs w:val="18"/>
                <w:lang w:val="en-US"/>
              </w:rPr>
              <w:t xml:space="preserve"> </w:t>
            </w:r>
            <w:proofErr w:type="spellStart"/>
            <w:r>
              <w:rPr>
                <w:rFonts w:eastAsia="Calibri Light" w:cs="Calibri"/>
                <w:sz w:val="18"/>
                <w:szCs w:val="18"/>
                <w:lang w:val="en-US"/>
              </w:rPr>
              <w:t>analisis</w:t>
            </w:r>
            <w:proofErr w:type="spellEnd"/>
            <w:r>
              <w:rPr>
                <w:rFonts w:eastAsia="Calibri Light" w:cs="Calibri"/>
                <w:sz w:val="18"/>
                <w:szCs w:val="18"/>
                <w:lang w:val="en-US"/>
              </w:rPr>
              <w:t xml:space="preserve"> </w:t>
            </w:r>
            <w:proofErr w:type="spellStart"/>
            <w:r>
              <w:rPr>
                <w:rFonts w:eastAsia="Calibri Light" w:cs="Calibri"/>
                <w:sz w:val="18"/>
                <w:szCs w:val="18"/>
                <w:lang w:val="en-US"/>
              </w:rPr>
              <w:t>regresi</w:t>
            </w:r>
            <w:proofErr w:type="spellEnd"/>
            <w:r>
              <w:rPr>
                <w:rFonts w:eastAsia="Calibri Light" w:cs="Calibri"/>
                <w:sz w:val="18"/>
                <w:szCs w:val="18"/>
                <w:lang w:val="en-US"/>
              </w:rPr>
              <w:t xml:space="preserve"> </w:t>
            </w:r>
            <w:proofErr w:type="spellStart"/>
            <w:r>
              <w:rPr>
                <w:rFonts w:eastAsia="Calibri Light" w:cs="Calibri"/>
                <w:sz w:val="18"/>
                <w:szCs w:val="18"/>
                <w:lang w:val="en-US"/>
              </w:rPr>
              <w:t>untuk</w:t>
            </w:r>
            <w:proofErr w:type="spellEnd"/>
            <w:r>
              <w:rPr>
                <w:rFonts w:eastAsia="Calibri Light" w:cs="Calibri"/>
                <w:sz w:val="18"/>
                <w:szCs w:val="18"/>
                <w:lang w:val="en-US"/>
              </w:rPr>
              <w:t xml:space="preserve"> variable </w:t>
            </w:r>
            <w:proofErr w:type="spellStart"/>
            <w:r>
              <w:rPr>
                <w:rFonts w:eastAsia="Calibri Light" w:cs="Calibri"/>
                <w:sz w:val="18"/>
                <w:szCs w:val="18"/>
                <w:lang w:val="en-US"/>
              </w:rPr>
              <w:t>dependen</w:t>
            </w:r>
            <w:proofErr w:type="spellEnd"/>
            <w:r>
              <w:rPr>
                <w:rFonts w:eastAsia="Calibri Light" w:cs="Calibri"/>
                <w:sz w:val="18"/>
                <w:szCs w:val="18"/>
                <w:lang w:val="en-US"/>
              </w:rPr>
              <w:t xml:space="preserve"> dan independent. </w:t>
            </w:r>
            <w:proofErr w:type="spellStart"/>
            <w:r>
              <w:rPr>
                <w:rFonts w:eastAsia="Calibri Light" w:cs="Calibri"/>
                <w:sz w:val="18"/>
                <w:szCs w:val="18"/>
                <w:lang w:val="en-US"/>
              </w:rPr>
              <w:t>Sampel</w:t>
            </w:r>
            <w:proofErr w:type="spellEnd"/>
            <w:r>
              <w:rPr>
                <w:rFonts w:eastAsia="Calibri Light" w:cs="Calibri"/>
                <w:sz w:val="18"/>
                <w:szCs w:val="18"/>
                <w:lang w:val="en-US"/>
              </w:rPr>
              <w:t xml:space="preserve"> </w:t>
            </w:r>
            <w:proofErr w:type="spellStart"/>
            <w:r>
              <w:rPr>
                <w:rFonts w:eastAsia="Calibri Light" w:cs="Calibri"/>
                <w:sz w:val="18"/>
                <w:szCs w:val="18"/>
                <w:lang w:val="en-US"/>
              </w:rPr>
              <w:t>terdiri</w:t>
            </w:r>
            <w:proofErr w:type="spellEnd"/>
            <w:r>
              <w:rPr>
                <w:rFonts w:eastAsia="Calibri Light" w:cs="Calibri"/>
                <w:sz w:val="18"/>
                <w:szCs w:val="18"/>
                <w:lang w:val="en-US"/>
              </w:rPr>
              <w:t xml:space="preserve"> </w:t>
            </w:r>
            <w:proofErr w:type="spellStart"/>
            <w:r>
              <w:rPr>
                <w:rFonts w:eastAsia="Calibri Light" w:cs="Calibri"/>
                <w:sz w:val="18"/>
                <w:szCs w:val="18"/>
                <w:lang w:val="en-US"/>
              </w:rPr>
              <w:t>dari</w:t>
            </w:r>
            <w:proofErr w:type="spellEnd"/>
            <w:r>
              <w:rPr>
                <w:rFonts w:eastAsia="Calibri Light" w:cs="Calibri"/>
                <w:sz w:val="18"/>
                <w:szCs w:val="18"/>
                <w:lang w:val="en-US"/>
              </w:rPr>
              <w:t xml:space="preserve"> Bank Syariah yang </w:t>
            </w:r>
            <w:proofErr w:type="spellStart"/>
            <w:r>
              <w:rPr>
                <w:rFonts w:eastAsia="Calibri Light" w:cs="Calibri"/>
                <w:sz w:val="18"/>
                <w:szCs w:val="18"/>
                <w:lang w:val="en-US"/>
              </w:rPr>
              <w:t>terdaftar</w:t>
            </w:r>
            <w:proofErr w:type="spellEnd"/>
            <w:r>
              <w:rPr>
                <w:rFonts w:eastAsia="Calibri Light" w:cs="Calibri"/>
                <w:sz w:val="18"/>
                <w:szCs w:val="18"/>
                <w:lang w:val="en-US"/>
              </w:rPr>
              <w:t xml:space="preserve"> </w:t>
            </w:r>
            <w:proofErr w:type="spellStart"/>
            <w:r>
              <w:rPr>
                <w:rFonts w:eastAsia="Calibri Light" w:cs="Calibri"/>
                <w:sz w:val="18"/>
                <w:szCs w:val="18"/>
                <w:lang w:val="en-US"/>
              </w:rPr>
              <w:t>dalam</w:t>
            </w:r>
            <w:proofErr w:type="spellEnd"/>
            <w:r>
              <w:rPr>
                <w:rFonts w:eastAsia="Calibri Light" w:cs="Calibri"/>
                <w:sz w:val="18"/>
                <w:szCs w:val="18"/>
                <w:lang w:val="en-US"/>
              </w:rPr>
              <w:t xml:space="preserve"> Bursa </w:t>
            </w:r>
            <w:proofErr w:type="spellStart"/>
            <w:r>
              <w:rPr>
                <w:rFonts w:eastAsia="Calibri Light" w:cs="Calibri"/>
                <w:sz w:val="18"/>
                <w:szCs w:val="18"/>
                <w:lang w:val="en-US"/>
              </w:rPr>
              <w:t>Efek</w:t>
            </w:r>
            <w:proofErr w:type="spellEnd"/>
            <w:r>
              <w:rPr>
                <w:rFonts w:eastAsia="Calibri Light" w:cs="Calibri"/>
                <w:sz w:val="18"/>
                <w:szCs w:val="18"/>
                <w:lang w:val="en-US"/>
              </w:rPr>
              <w:t xml:space="preserve"> Indonesia </w:t>
            </w:r>
            <w:proofErr w:type="spellStart"/>
            <w:r>
              <w:rPr>
                <w:rFonts w:eastAsia="Calibri Light" w:cs="Calibri"/>
                <w:sz w:val="18"/>
                <w:szCs w:val="18"/>
                <w:lang w:val="en-US"/>
              </w:rPr>
              <w:t>dari</w:t>
            </w:r>
            <w:proofErr w:type="spellEnd"/>
            <w:r>
              <w:rPr>
                <w:rFonts w:eastAsia="Calibri Light" w:cs="Calibri"/>
                <w:sz w:val="18"/>
                <w:szCs w:val="18"/>
                <w:lang w:val="en-US"/>
              </w:rPr>
              <w:t xml:space="preserve"> 2014 </w:t>
            </w:r>
            <w:proofErr w:type="spellStart"/>
            <w:r>
              <w:rPr>
                <w:rFonts w:eastAsia="Calibri Light" w:cs="Calibri"/>
                <w:sz w:val="18"/>
                <w:szCs w:val="18"/>
                <w:lang w:val="en-US"/>
              </w:rPr>
              <w:t>sampai</w:t>
            </w:r>
            <w:proofErr w:type="spellEnd"/>
            <w:r>
              <w:rPr>
                <w:rFonts w:eastAsia="Calibri Light" w:cs="Calibri"/>
                <w:sz w:val="18"/>
                <w:szCs w:val="18"/>
                <w:lang w:val="en-US"/>
              </w:rPr>
              <w:t xml:space="preserve"> 2020. ***, </w:t>
            </w:r>
            <w:proofErr w:type="spellStart"/>
            <w:r>
              <w:rPr>
                <w:rFonts w:eastAsia="Calibri Light" w:cs="Calibri"/>
                <w:sz w:val="18"/>
                <w:szCs w:val="18"/>
                <w:lang w:val="en-US"/>
              </w:rPr>
              <w:t>menunjukkan</w:t>
            </w:r>
            <w:proofErr w:type="spellEnd"/>
            <w:r>
              <w:rPr>
                <w:rFonts w:eastAsia="Calibri Light" w:cs="Calibri"/>
                <w:sz w:val="18"/>
                <w:szCs w:val="18"/>
                <w:lang w:val="en-US"/>
              </w:rPr>
              <w:t xml:space="preserve"> </w:t>
            </w:r>
            <w:proofErr w:type="spellStart"/>
            <w:r>
              <w:rPr>
                <w:rFonts w:eastAsia="Calibri Light" w:cs="Calibri"/>
                <w:sz w:val="18"/>
                <w:szCs w:val="18"/>
                <w:lang w:val="en-US"/>
              </w:rPr>
              <w:t>tingkat</w:t>
            </w:r>
            <w:proofErr w:type="spellEnd"/>
            <w:r>
              <w:rPr>
                <w:rFonts w:eastAsia="Calibri Light" w:cs="Calibri"/>
                <w:sz w:val="18"/>
                <w:szCs w:val="18"/>
                <w:lang w:val="en-US"/>
              </w:rPr>
              <w:t xml:space="preserve"> </w:t>
            </w:r>
            <w:proofErr w:type="spellStart"/>
            <w:r>
              <w:rPr>
                <w:rFonts w:eastAsia="Calibri Light" w:cs="Calibri"/>
                <w:sz w:val="18"/>
                <w:szCs w:val="18"/>
                <w:lang w:val="en-US"/>
              </w:rPr>
              <w:t>signifikansi</w:t>
            </w:r>
            <w:proofErr w:type="spellEnd"/>
            <w:r>
              <w:rPr>
                <w:rFonts w:eastAsia="Calibri Light" w:cs="Calibri"/>
                <w:sz w:val="18"/>
                <w:szCs w:val="18"/>
                <w:lang w:val="en-US"/>
              </w:rPr>
              <w:t xml:space="preserve"> pada level 1%.</w:t>
            </w:r>
          </w:p>
        </w:tc>
      </w:tr>
      <w:tr w:rsidR="002F7440" w:rsidRPr="003348F5" w14:paraId="606BABDC" w14:textId="77777777" w:rsidTr="00420F29">
        <w:tc>
          <w:tcPr>
            <w:tcW w:w="6563" w:type="dxa"/>
            <w:gridSpan w:val="3"/>
            <w:tcBorders>
              <w:top w:val="single" w:sz="4" w:space="0" w:color="auto"/>
            </w:tcBorders>
            <w:shd w:val="clear" w:color="auto" w:fill="auto"/>
            <w:tcMar>
              <w:left w:w="100" w:type="dxa"/>
              <w:right w:w="100" w:type="dxa"/>
            </w:tcMar>
          </w:tcPr>
          <w:p w14:paraId="4B38E310" w14:textId="77777777" w:rsidR="002F7440" w:rsidRDefault="002F7440" w:rsidP="00271D3C">
            <w:pPr>
              <w:pStyle w:val="NormalWeb"/>
              <w:spacing w:before="40" w:beforeAutospacing="0" w:after="40" w:afterAutospacing="0" w:line="240" w:lineRule="auto"/>
              <w:contextualSpacing/>
              <w:jc w:val="both"/>
              <w:rPr>
                <w:rFonts w:eastAsia="Calibri Light" w:cs="Calibri"/>
                <w:sz w:val="18"/>
                <w:szCs w:val="18"/>
                <w:lang w:val="en-US"/>
              </w:rPr>
            </w:pPr>
          </w:p>
        </w:tc>
      </w:tr>
    </w:tbl>
    <w:p w14:paraId="50FC343C" w14:textId="1CEF5A01" w:rsidR="00BF6C9F" w:rsidRDefault="009B3DA6" w:rsidP="009B3DA6">
      <w:pPr>
        <w:pStyle w:val="ISI"/>
        <w:ind w:firstLine="426"/>
        <w:rPr>
          <w:rFonts w:cs="Calibri"/>
          <w:lang w:val="en-US"/>
        </w:rPr>
      </w:pPr>
      <w:r w:rsidRPr="009B3DA6">
        <w:rPr>
          <w:rFonts w:cs="Calibri"/>
          <w:lang w:val="en-US"/>
        </w:rPr>
        <w:t xml:space="preserve">Moderation testing with moderated regression analysis (MRA) in model 3 and model 4 is shown in table 3 and table 4 to test third-party funds to moderate the effect of intellectual capital and zakat performance ratio on ROA and the influence of intellectual capital and zakat performance ratio on ROE. </w:t>
      </w:r>
      <w:r>
        <w:rPr>
          <w:rFonts w:cs="Calibri"/>
          <w:lang w:val="en-US"/>
        </w:rPr>
        <w:t>First, t</w:t>
      </w:r>
      <w:r w:rsidRPr="009B3DA6">
        <w:rPr>
          <w:rFonts w:cs="Calibri"/>
          <w:lang w:val="en-US"/>
        </w:rPr>
        <w:t xml:space="preserve">hird-party funds moderating the influence of intellectual capital on ROA has a significance of 0.46 (sig&gt;10%), this indicates that there is a moderator </w:t>
      </w:r>
      <w:proofErr w:type="spellStart"/>
      <w:r w:rsidRPr="009B3DA6">
        <w:rPr>
          <w:rFonts w:cs="Calibri"/>
          <w:lang w:val="en-US"/>
        </w:rPr>
        <w:t>homologiser</w:t>
      </w:r>
      <w:proofErr w:type="spellEnd"/>
      <w:r w:rsidRPr="009B3DA6">
        <w:rPr>
          <w:rFonts w:cs="Calibri"/>
          <w:lang w:val="en-US"/>
        </w:rPr>
        <w:t xml:space="preserve">, </w:t>
      </w:r>
      <w:r w:rsidRPr="009B3DA6">
        <w:rPr>
          <w:rFonts w:cs="Calibri"/>
          <w:b/>
          <w:bCs/>
          <w:lang w:val="en-US"/>
        </w:rPr>
        <w:t>H5 is rejected</w:t>
      </w:r>
      <w:r w:rsidRPr="009B3DA6">
        <w:rPr>
          <w:rFonts w:cs="Calibri"/>
          <w:lang w:val="en-US"/>
        </w:rPr>
        <w:t xml:space="preserve">. </w:t>
      </w:r>
      <w:r>
        <w:rPr>
          <w:rFonts w:cs="Calibri"/>
          <w:lang w:val="en-US"/>
        </w:rPr>
        <w:t>Second, t</w:t>
      </w:r>
      <w:r w:rsidRPr="009B3DA6">
        <w:rPr>
          <w:rFonts w:cs="Calibri"/>
          <w:lang w:val="en-US"/>
        </w:rPr>
        <w:t xml:space="preserve">hird-party funds moderating the influence of intellectual capital on ROE has a significance of 0.83 (sig&gt;10%), this indicates that there is a moderator </w:t>
      </w:r>
      <w:proofErr w:type="spellStart"/>
      <w:r w:rsidRPr="009B3DA6">
        <w:rPr>
          <w:rFonts w:cs="Calibri"/>
          <w:lang w:val="en-US"/>
        </w:rPr>
        <w:t>homologiser</w:t>
      </w:r>
      <w:proofErr w:type="spellEnd"/>
      <w:r w:rsidRPr="009B3DA6">
        <w:rPr>
          <w:rFonts w:cs="Calibri"/>
          <w:lang w:val="en-US"/>
        </w:rPr>
        <w:t xml:space="preserve">, </w:t>
      </w:r>
      <w:r w:rsidRPr="009B3DA6">
        <w:rPr>
          <w:rFonts w:cs="Calibri"/>
          <w:b/>
          <w:bCs/>
          <w:lang w:val="en-US"/>
        </w:rPr>
        <w:t>H6 is rejected</w:t>
      </w:r>
      <w:r w:rsidRPr="009B3DA6">
        <w:rPr>
          <w:rFonts w:cs="Calibri"/>
          <w:lang w:val="en-US"/>
        </w:rPr>
        <w:t>. T</w:t>
      </w:r>
      <w:r>
        <w:rPr>
          <w:rFonts w:cs="Calibri"/>
          <w:lang w:val="en-US"/>
        </w:rPr>
        <w:t>hird, t</w:t>
      </w:r>
      <w:r w:rsidRPr="009B3DA6">
        <w:rPr>
          <w:rFonts w:cs="Calibri"/>
          <w:lang w:val="en-US"/>
        </w:rPr>
        <w:t xml:space="preserve">hird-party funds moderating the effect of </w:t>
      </w:r>
      <w:r>
        <w:rPr>
          <w:rFonts w:cs="Calibri"/>
          <w:lang w:val="en-US"/>
        </w:rPr>
        <w:t>Z</w:t>
      </w:r>
      <w:r w:rsidRPr="009B3DA6">
        <w:rPr>
          <w:rFonts w:cs="Calibri"/>
          <w:lang w:val="en-US"/>
        </w:rPr>
        <w:t xml:space="preserve">akat performing ratio on ROA has a significance of 0.12 (sig&gt;10%), this indicates that there is a moderator </w:t>
      </w:r>
      <w:proofErr w:type="spellStart"/>
      <w:r w:rsidRPr="009B3DA6">
        <w:rPr>
          <w:rFonts w:cs="Calibri"/>
          <w:lang w:val="en-US"/>
        </w:rPr>
        <w:t>homologiser</w:t>
      </w:r>
      <w:proofErr w:type="spellEnd"/>
      <w:r w:rsidRPr="009B3DA6">
        <w:rPr>
          <w:rFonts w:cs="Calibri"/>
          <w:lang w:val="en-US"/>
        </w:rPr>
        <w:t xml:space="preserve">, </w:t>
      </w:r>
      <w:r w:rsidRPr="009B3DA6">
        <w:rPr>
          <w:rFonts w:cs="Calibri"/>
          <w:b/>
          <w:bCs/>
          <w:lang w:val="en-US"/>
        </w:rPr>
        <w:t>H7 is rejected</w:t>
      </w:r>
      <w:r w:rsidRPr="009B3DA6">
        <w:rPr>
          <w:rFonts w:cs="Calibri"/>
          <w:lang w:val="en-US"/>
        </w:rPr>
        <w:t xml:space="preserve">. </w:t>
      </w:r>
      <w:r>
        <w:rPr>
          <w:rFonts w:cs="Calibri"/>
          <w:lang w:val="en-US"/>
        </w:rPr>
        <w:t>Finally, t</w:t>
      </w:r>
      <w:r w:rsidRPr="009B3DA6">
        <w:rPr>
          <w:rFonts w:cs="Calibri"/>
          <w:lang w:val="en-US"/>
        </w:rPr>
        <w:t xml:space="preserve">hird-party funds moderating the effect of </w:t>
      </w:r>
      <w:r>
        <w:rPr>
          <w:rFonts w:cs="Calibri"/>
          <w:lang w:val="en-US"/>
        </w:rPr>
        <w:t>Z</w:t>
      </w:r>
      <w:r w:rsidRPr="009B3DA6">
        <w:rPr>
          <w:rFonts w:cs="Calibri"/>
          <w:lang w:val="en-US"/>
        </w:rPr>
        <w:t xml:space="preserve">akat performing ratio on ROE has a significance of 0.98 (sig&gt;10%), this indicates that there is a moderator </w:t>
      </w:r>
      <w:proofErr w:type="spellStart"/>
      <w:r w:rsidRPr="009B3DA6">
        <w:rPr>
          <w:rFonts w:cs="Calibri"/>
          <w:lang w:val="en-US"/>
        </w:rPr>
        <w:t>homologiser</w:t>
      </w:r>
      <w:proofErr w:type="spellEnd"/>
      <w:r w:rsidRPr="009B3DA6">
        <w:rPr>
          <w:rFonts w:cs="Calibri"/>
          <w:lang w:val="en-US"/>
        </w:rPr>
        <w:t xml:space="preserve">, </w:t>
      </w:r>
      <w:r w:rsidRPr="009B3DA6">
        <w:rPr>
          <w:rFonts w:cs="Calibri"/>
          <w:b/>
          <w:bCs/>
          <w:lang w:val="en-US"/>
        </w:rPr>
        <w:t>H8 is rejected</w:t>
      </w:r>
      <w:r w:rsidRPr="009B3DA6">
        <w:rPr>
          <w:rFonts w:cs="Calibri"/>
          <w:lang w:val="en-US"/>
        </w:rPr>
        <w:t>.</w:t>
      </w:r>
    </w:p>
    <w:p w14:paraId="60DB18BE" w14:textId="348F66A0" w:rsidR="009B3DA6" w:rsidRDefault="009B3DA6" w:rsidP="009B3DA6">
      <w:pPr>
        <w:pStyle w:val="ISI"/>
        <w:ind w:firstLine="426"/>
        <w:rPr>
          <w:rFonts w:ascii="Calibri" w:hAnsi="Calibri" w:cs="Calibri"/>
          <w:sz w:val="20"/>
          <w:szCs w:val="20"/>
          <w:lang w:val="en-US"/>
        </w:rPr>
      </w:pPr>
    </w:p>
    <w:p w14:paraId="7C60E389" w14:textId="2C05EFB0" w:rsidR="00BF5210" w:rsidRDefault="00BF5210" w:rsidP="009B3DA6">
      <w:pPr>
        <w:pStyle w:val="ISI"/>
        <w:ind w:firstLine="426"/>
        <w:rPr>
          <w:rFonts w:ascii="Calibri" w:hAnsi="Calibri" w:cs="Calibri"/>
          <w:sz w:val="20"/>
          <w:szCs w:val="20"/>
          <w:lang w:val="en-US"/>
        </w:rPr>
      </w:pPr>
    </w:p>
    <w:p w14:paraId="7AC90295" w14:textId="0C75118E" w:rsidR="00BF5210" w:rsidRDefault="00BF5210" w:rsidP="009B3DA6">
      <w:pPr>
        <w:pStyle w:val="ISI"/>
        <w:ind w:firstLine="426"/>
        <w:rPr>
          <w:rFonts w:ascii="Calibri" w:hAnsi="Calibri" w:cs="Calibri"/>
          <w:sz w:val="20"/>
          <w:szCs w:val="20"/>
          <w:lang w:val="en-US"/>
        </w:rPr>
      </w:pPr>
    </w:p>
    <w:p w14:paraId="022F3F25" w14:textId="77777777" w:rsidR="00BF5210" w:rsidRPr="002F7440" w:rsidRDefault="00BF5210" w:rsidP="009B3DA6">
      <w:pPr>
        <w:pStyle w:val="ISI"/>
        <w:ind w:firstLine="426"/>
        <w:rPr>
          <w:rFonts w:ascii="Calibri" w:hAnsi="Calibri" w:cs="Calibri"/>
          <w:sz w:val="20"/>
          <w:szCs w:val="20"/>
          <w:lang w:val="en-US"/>
        </w:rPr>
      </w:pPr>
    </w:p>
    <w:p w14:paraId="2A8D6761" w14:textId="69F1678D" w:rsidR="002F7440" w:rsidRPr="002F7440" w:rsidRDefault="002F7440" w:rsidP="00322E93">
      <w:pPr>
        <w:pStyle w:val="ISI"/>
        <w:ind w:firstLine="0"/>
        <w:rPr>
          <w:rFonts w:ascii="Calibri" w:hAnsi="Calibri" w:cs="Calibri"/>
          <w:b/>
          <w:bCs/>
          <w:sz w:val="20"/>
          <w:szCs w:val="20"/>
          <w:lang w:val="en-US"/>
        </w:rPr>
      </w:pPr>
      <w:r w:rsidRPr="002F7440">
        <w:rPr>
          <w:rFonts w:ascii="Calibri" w:hAnsi="Calibri" w:cs="Calibri"/>
          <w:b/>
          <w:bCs/>
          <w:sz w:val="20"/>
          <w:szCs w:val="20"/>
          <w:lang w:val="en-US"/>
        </w:rPr>
        <w:t xml:space="preserve">Table </w:t>
      </w:r>
      <w:r>
        <w:rPr>
          <w:rFonts w:ascii="Calibri" w:hAnsi="Calibri" w:cs="Calibri"/>
          <w:b/>
          <w:bCs/>
          <w:sz w:val="20"/>
          <w:szCs w:val="20"/>
          <w:lang w:val="en-US"/>
        </w:rPr>
        <w:t>4</w:t>
      </w:r>
      <w:r w:rsidRPr="002F7440">
        <w:rPr>
          <w:rFonts w:ascii="Calibri" w:hAnsi="Calibri" w:cs="Calibri"/>
          <w:b/>
          <w:bCs/>
          <w:sz w:val="20"/>
          <w:szCs w:val="20"/>
          <w:lang w:val="en-US"/>
        </w:rPr>
        <w:t xml:space="preserve">. The </w:t>
      </w:r>
      <w:r>
        <w:rPr>
          <w:rFonts w:ascii="Calibri" w:hAnsi="Calibri" w:cs="Calibri"/>
          <w:b/>
          <w:bCs/>
          <w:sz w:val="20"/>
          <w:szCs w:val="20"/>
          <w:lang w:val="en-US"/>
        </w:rPr>
        <w:t xml:space="preserve">Moderated </w:t>
      </w:r>
      <w:r w:rsidRPr="002F7440">
        <w:rPr>
          <w:rFonts w:ascii="Calibri" w:hAnsi="Calibri" w:cs="Calibri"/>
          <w:b/>
          <w:bCs/>
          <w:sz w:val="20"/>
          <w:szCs w:val="20"/>
          <w:lang w:val="en-US"/>
        </w:rPr>
        <w:t>Regression Analysis</w:t>
      </w:r>
      <w:r>
        <w:rPr>
          <w:rFonts w:ascii="Calibri" w:hAnsi="Calibri" w:cs="Calibri"/>
          <w:b/>
          <w:bCs/>
          <w:sz w:val="20"/>
          <w:szCs w:val="20"/>
          <w:lang w:val="en-US"/>
        </w:rPr>
        <w:t xml:space="preserve"> (MRA)</w:t>
      </w:r>
    </w:p>
    <w:tbl>
      <w:tblPr>
        <w:tblW w:w="6563" w:type="dxa"/>
        <w:tblInd w:w="100" w:type="dxa"/>
        <w:tblLayout w:type="fixed"/>
        <w:tblCellMar>
          <w:left w:w="0" w:type="dxa"/>
          <w:right w:w="0" w:type="dxa"/>
        </w:tblCellMar>
        <w:tblLook w:val="04A0" w:firstRow="1" w:lastRow="0" w:firstColumn="1" w:lastColumn="0" w:noHBand="0" w:noVBand="1"/>
      </w:tblPr>
      <w:tblGrid>
        <w:gridCol w:w="2340"/>
        <w:gridCol w:w="2380"/>
        <w:gridCol w:w="1843"/>
      </w:tblGrid>
      <w:tr w:rsidR="00666D59" w:rsidRPr="003348F5" w14:paraId="06C06E5D" w14:textId="77777777" w:rsidTr="00666D59">
        <w:tc>
          <w:tcPr>
            <w:tcW w:w="2340" w:type="dxa"/>
            <w:vMerge w:val="restart"/>
            <w:tcBorders>
              <w:top w:val="single" w:sz="2" w:space="0" w:color="000000"/>
            </w:tcBorders>
            <w:shd w:val="clear" w:color="auto" w:fill="auto"/>
            <w:tcMar>
              <w:left w:w="100" w:type="dxa"/>
              <w:right w:w="100" w:type="dxa"/>
            </w:tcMar>
          </w:tcPr>
          <w:p w14:paraId="1B27B7F7" w14:textId="7D59549A" w:rsidR="00666D59" w:rsidRPr="003348F5" w:rsidRDefault="00666D59" w:rsidP="00271D3C">
            <w:pPr>
              <w:pStyle w:val="NormalWeb"/>
              <w:spacing w:before="40" w:after="40" w:line="240" w:lineRule="auto"/>
              <w:contextualSpacing/>
              <w:jc w:val="center"/>
              <w:rPr>
                <w:rFonts w:eastAsia="Calibri Light" w:cs="Calibri"/>
                <w:b/>
                <w:sz w:val="18"/>
                <w:szCs w:val="18"/>
              </w:rPr>
            </w:pPr>
            <w:r w:rsidRPr="003348F5">
              <w:rPr>
                <w:rFonts w:eastAsia="Calibri Light" w:cs="Calibri"/>
                <w:b/>
                <w:sz w:val="18"/>
                <w:szCs w:val="18"/>
              </w:rPr>
              <w:t>Variable</w:t>
            </w:r>
          </w:p>
        </w:tc>
        <w:tc>
          <w:tcPr>
            <w:tcW w:w="2380" w:type="dxa"/>
            <w:tcBorders>
              <w:top w:val="single" w:sz="2" w:space="0" w:color="000000"/>
            </w:tcBorders>
            <w:shd w:val="clear" w:color="auto" w:fill="auto"/>
            <w:tcMar>
              <w:left w:w="100" w:type="dxa"/>
              <w:right w:w="100" w:type="dxa"/>
            </w:tcMar>
          </w:tcPr>
          <w:p w14:paraId="5DC948E8" w14:textId="5C1D8F3C" w:rsidR="00666D59" w:rsidRDefault="00666D59" w:rsidP="00271D3C">
            <w:pPr>
              <w:pStyle w:val="NormalWeb"/>
              <w:spacing w:before="40" w:beforeAutospacing="0" w:after="40" w:afterAutospacing="0" w:line="240" w:lineRule="auto"/>
              <w:contextualSpacing/>
              <w:jc w:val="center"/>
              <w:rPr>
                <w:rFonts w:eastAsia="Calibri Light" w:cs="Calibri"/>
                <w:b/>
                <w:sz w:val="18"/>
                <w:szCs w:val="18"/>
                <w:lang w:val="en-US"/>
              </w:rPr>
            </w:pPr>
            <w:r>
              <w:rPr>
                <w:rFonts w:eastAsia="Calibri Light" w:cs="Calibri"/>
                <w:b/>
                <w:sz w:val="18"/>
                <w:szCs w:val="18"/>
                <w:lang w:val="en-US"/>
              </w:rPr>
              <w:t>(3)</w:t>
            </w:r>
          </w:p>
        </w:tc>
        <w:tc>
          <w:tcPr>
            <w:tcW w:w="1843" w:type="dxa"/>
            <w:tcBorders>
              <w:top w:val="single" w:sz="2" w:space="0" w:color="000000"/>
            </w:tcBorders>
            <w:shd w:val="clear" w:color="auto" w:fill="auto"/>
            <w:tcMar>
              <w:left w:w="100" w:type="dxa"/>
              <w:right w:w="100" w:type="dxa"/>
            </w:tcMar>
          </w:tcPr>
          <w:p w14:paraId="0DFEE5BE" w14:textId="3FE067C4" w:rsidR="00666D59" w:rsidRDefault="00666D59" w:rsidP="00271D3C">
            <w:pPr>
              <w:pStyle w:val="NormalWeb"/>
              <w:spacing w:before="40" w:beforeAutospacing="0" w:after="40" w:afterAutospacing="0" w:line="240" w:lineRule="auto"/>
              <w:contextualSpacing/>
              <w:jc w:val="center"/>
              <w:rPr>
                <w:rFonts w:eastAsia="Calibri Light" w:cs="Calibri"/>
                <w:b/>
                <w:sz w:val="18"/>
                <w:szCs w:val="18"/>
                <w:lang w:val="en-US"/>
              </w:rPr>
            </w:pPr>
            <w:r>
              <w:rPr>
                <w:rFonts w:eastAsia="Calibri Light" w:cs="Calibri"/>
                <w:b/>
                <w:sz w:val="18"/>
                <w:szCs w:val="18"/>
                <w:lang w:val="en-US"/>
              </w:rPr>
              <w:t>(4)</w:t>
            </w:r>
          </w:p>
        </w:tc>
      </w:tr>
      <w:tr w:rsidR="00666D59" w:rsidRPr="003348F5" w14:paraId="6951230C" w14:textId="77777777" w:rsidTr="00666D59">
        <w:tc>
          <w:tcPr>
            <w:tcW w:w="2340" w:type="dxa"/>
            <w:vMerge/>
            <w:tcBorders>
              <w:bottom w:val="single" w:sz="2" w:space="0" w:color="000000"/>
            </w:tcBorders>
            <w:shd w:val="clear" w:color="auto" w:fill="auto"/>
            <w:tcMar>
              <w:left w:w="100" w:type="dxa"/>
              <w:right w:w="100" w:type="dxa"/>
            </w:tcMar>
          </w:tcPr>
          <w:p w14:paraId="594DC264" w14:textId="61510C7F" w:rsidR="00666D59" w:rsidRPr="003348F5" w:rsidRDefault="00666D59" w:rsidP="00271D3C">
            <w:pPr>
              <w:pStyle w:val="NormalWeb"/>
              <w:spacing w:before="40" w:beforeAutospacing="0" w:after="40" w:afterAutospacing="0" w:line="240" w:lineRule="auto"/>
              <w:contextualSpacing/>
              <w:jc w:val="center"/>
              <w:rPr>
                <w:rFonts w:cs="Calibri"/>
                <w:sz w:val="18"/>
                <w:szCs w:val="18"/>
              </w:rPr>
            </w:pPr>
          </w:p>
        </w:tc>
        <w:tc>
          <w:tcPr>
            <w:tcW w:w="2380" w:type="dxa"/>
            <w:tcBorders>
              <w:bottom w:val="single" w:sz="2" w:space="0" w:color="000000"/>
            </w:tcBorders>
            <w:shd w:val="clear" w:color="auto" w:fill="auto"/>
            <w:tcMar>
              <w:left w:w="100" w:type="dxa"/>
              <w:right w:w="100" w:type="dxa"/>
            </w:tcMar>
          </w:tcPr>
          <w:p w14:paraId="17276334" w14:textId="77777777" w:rsidR="00666D59" w:rsidRPr="00240B49" w:rsidRDefault="00666D59" w:rsidP="00271D3C">
            <w:pPr>
              <w:pStyle w:val="NormalWeb"/>
              <w:spacing w:before="40" w:beforeAutospacing="0" w:after="40" w:afterAutospacing="0" w:line="240" w:lineRule="auto"/>
              <w:contextualSpacing/>
              <w:jc w:val="center"/>
              <w:rPr>
                <w:rFonts w:cs="Calibri"/>
                <w:sz w:val="18"/>
                <w:szCs w:val="18"/>
                <w:lang w:val="en-US"/>
              </w:rPr>
            </w:pPr>
            <w:r>
              <w:rPr>
                <w:rFonts w:eastAsia="Calibri Light" w:cs="Calibri"/>
                <w:b/>
                <w:sz w:val="18"/>
                <w:szCs w:val="18"/>
                <w:lang w:val="en-US"/>
              </w:rPr>
              <w:t>ROA</w:t>
            </w:r>
          </w:p>
        </w:tc>
        <w:tc>
          <w:tcPr>
            <w:tcW w:w="1843" w:type="dxa"/>
            <w:tcBorders>
              <w:bottom w:val="single" w:sz="2" w:space="0" w:color="000000"/>
            </w:tcBorders>
            <w:shd w:val="clear" w:color="auto" w:fill="auto"/>
            <w:tcMar>
              <w:left w:w="100" w:type="dxa"/>
              <w:right w:w="100" w:type="dxa"/>
            </w:tcMar>
          </w:tcPr>
          <w:p w14:paraId="5D157271" w14:textId="77777777" w:rsidR="00666D59" w:rsidRPr="00240B49" w:rsidRDefault="00666D59" w:rsidP="00271D3C">
            <w:pPr>
              <w:pStyle w:val="NormalWeb"/>
              <w:spacing w:before="40" w:beforeAutospacing="0" w:after="40" w:afterAutospacing="0" w:line="240" w:lineRule="auto"/>
              <w:contextualSpacing/>
              <w:jc w:val="center"/>
              <w:rPr>
                <w:rFonts w:cs="Calibri"/>
                <w:sz w:val="18"/>
                <w:szCs w:val="18"/>
                <w:lang w:val="en-US"/>
              </w:rPr>
            </w:pPr>
            <w:r>
              <w:rPr>
                <w:rFonts w:eastAsia="Calibri Light" w:cs="Calibri"/>
                <w:b/>
                <w:sz w:val="18"/>
                <w:szCs w:val="18"/>
                <w:lang w:val="en-US"/>
              </w:rPr>
              <w:t>ROE</w:t>
            </w:r>
          </w:p>
        </w:tc>
      </w:tr>
      <w:tr w:rsidR="002F7440" w:rsidRPr="003348F5" w14:paraId="2F6EF798" w14:textId="77777777" w:rsidTr="002F7440">
        <w:tc>
          <w:tcPr>
            <w:tcW w:w="2340" w:type="dxa"/>
            <w:shd w:val="clear" w:color="auto" w:fill="auto"/>
            <w:tcMar>
              <w:left w:w="100" w:type="dxa"/>
              <w:right w:w="100" w:type="dxa"/>
            </w:tcMar>
          </w:tcPr>
          <w:p w14:paraId="3BF21FFF" w14:textId="77777777" w:rsidR="002F7440" w:rsidRPr="008515C4" w:rsidRDefault="002F7440"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IC</w:t>
            </w:r>
          </w:p>
        </w:tc>
        <w:tc>
          <w:tcPr>
            <w:tcW w:w="2380" w:type="dxa"/>
            <w:shd w:val="clear" w:color="auto" w:fill="auto"/>
            <w:tcMar>
              <w:left w:w="100" w:type="dxa"/>
              <w:right w:w="100" w:type="dxa"/>
            </w:tcMar>
          </w:tcPr>
          <w:p w14:paraId="52C25AF8" w14:textId="445A30A9" w:rsidR="002F7440" w:rsidRPr="008515C4" w:rsidRDefault="002F7440"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-0.21</w:t>
            </w:r>
          </w:p>
        </w:tc>
        <w:tc>
          <w:tcPr>
            <w:tcW w:w="1843" w:type="dxa"/>
            <w:shd w:val="clear" w:color="auto" w:fill="auto"/>
            <w:tcMar>
              <w:left w:w="100" w:type="dxa"/>
              <w:right w:w="100" w:type="dxa"/>
            </w:tcMar>
          </w:tcPr>
          <w:p w14:paraId="0528B410" w14:textId="2E8A1294" w:rsidR="002F7440" w:rsidRPr="008515C4" w:rsidRDefault="002F7440"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0.15</w:t>
            </w:r>
          </w:p>
        </w:tc>
      </w:tr>
      <w:tr w:rsidR="002F7440" w:rsidRPr="003348F5" w14:paraId="6109BAF6" w14:textId="77777777" w:rsidTr="002F7440">
        <w:tc>
          <w:tcPr>
            <w:tcW w:w="2340" w:type="dxa"/>
            <w:shd w:val="clear" w:color="auto" w:fill="auto"/>
            <w:tcMar>
              <w:left w:w="100" w:type="dxa"/>
              <w:right w:w="100" w:type="dxa"/>
            </w:tcMar>
          </w:tcPr>
          <w:p w14:paraId="4F1D5E9B" w14:textId="77777777" w:rsidR="002F7440" w:rsidRDefault="002F7440" w:rsidP="00271D3C">
            <w:pPr>
              <w:pStyle w:val="NormalWeb"/>
              <w:spacing w:before="40" w:beforeAutospacing="0" w:after="40" w:afterAutospacing="0" w:line="240" w:lineRule="auto"/>
              <w:contextualSpacing/>
              <w:rPr>
                <w:rFonts w:cs="Calibri"/>
                <w:sz w:val="18"/>
                <w:szCs w:val="18"/>
                <w:lang w:val="en-US"/>
              </w:rPr>
            </w:pPr>
          </w:p>
        </w:tc>
        <w:tc>
          <w:tcPr>
            <w:tcW w:w="2380" w:type="dxa"/>
            <w:shd w:val="clear" w:color="auto" w:fill="auto"/>
            <w:tcMar>
              <w:left w:w="100" w:type="dxa"/>
              <w:right w:w="100" w:type="dxa"/>
            </w:tcMar>
          </w:tcPr>
          <w:p w14:paraId="34C338BA" w14:textId="7E04BBB7" w:rsidR="002F7440" w:rsidRPr="008515C4" w:rsidRDefault="002F7440"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(-0.22)</w:t>
            </w:r>
          </w:p>
        </w:tc>
        <w:tc>
          <w:tcPr>
            <w:tcW w:w="1843" w:type="dxa"/>
            <w:shd w:val="clear" w:color="auto" w:fill="auto"/>
            <w:tcMar>
              <w:left w:w="100" w:type="dxa"/>
              <w:right w:w="100" w:type="dxa"/>
            </w:tcMar>
          </w:tcPr>
          <w:p w14:paraId="4063F7EF" w14:textId="01407FE4" w:rsidR="002F7440" w:rsidRPr="008515C4" w:rsidRDefault="002F7440"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(0.15)</w:t>
            </w:r>
          </w:p>
        </w:tc>
      </w:tr>
      <w:tr w:rsidR="002F7440" w:rsidRPr="003348F5" w14:paraId="14E292A8" w14:textId="77777777" w:rsidTr="002F7440">
        <w:tc>
          <w:tcPr>
            <w:tcW w:w="2340" w:type="dxa"/>
            <w:shd w:val="clear" w:color="auto" w:fill="auto"/>
            <w:tcMar>
              <w:left w:w="100" w:type="dxa"/>
              <w:right w:w="100" w:type="dxa"/>
            </w:tcMar>
          </w:tcPr>
          <w:p w14:paraId="4D565305" w14:textId="77777777" w:rsidR="002F7440" w:rsidRDefault="002F7440"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ZPR</w:t>
            </w:r>
          </w:p>
        </w:tc>
        <w:tc>
          <w:tcPr>
            <w:tcW w:w="2380" w:type="dxa"/>
            <w:shd w:val="clear" w:color="auto" w:fill="auto"/>
            <w:tcMar>
              <w:left w:w="100" w:type="dxa"/>
              <w:right w:w="100" w:type="dxa"/>
            </w:tcMar>
          </w:tcPr>
          <w:p w14:paraId="03BBD6FD" w14:textId="5B06D152" w:rsidR="002F7440" w:rsidRPr="008515C4"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-0.48</w:t>
            </w:r>
          </w:p>
        </w:tc>
        <w:tc>
          <w:tcPr>
            <w:tcW w:w="1843" w:type="dxa"/>
            <w:shd w:val="clear" w:color="auto" w:fill="auto"/>
            <w:tcMar>
              <w:left w:w="100" w:type="dxa"/>
              <w:right w:w="100" w:type="dxa"/>
            </w:tcMar>
          </w:tcPr>
          <w:p w14:paraId="5833582A" w14:textId="6489D7EC" w:rsidR="002F7440" w:rsidRPr="008515C4"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-0.12</w:t>
            </w:r>
          </w:p>
        </w:tc>
      </w:tr>
      <w:tr w:rsidR="002F7440" w:rsidRPr="003348F5" w14:paraId="3C97C904" w14:textId="77777777" w:rsidTr="002F7440">
        <w:tc>
          <w:tcPr>
            <w:tcW w:w="2340" w:type="dxa"/>
            <w:shd w:val="clear" w:color="auto" w:fill="auto"/>
            <w:tcMar>
              <w:left w:w="100" w:type="dxa"/>
              <w:right w:w="100" w:type="dxa"/>
            </w:tcMar>
          </w:tcPr>
          <w:p w14:paraId="532106AE" w14:textId="77777777" w:rsidR="002F7440" w:rsidRDefault="002F7440" w:rsidP="00271D3C">
            <w:pPr>
              <w:pStyle w:val="NormalWeb"/>
              <w:spacing w:before="40" w:beforeAutospacing="0" w:after="40" w:afterAutospacing="0" w:line="240" w:lineRule="auto"/>
              <w:contextualSpacing/>
              <w:rPr>
                <w:rFonts w:cs="Calibri"/>
                <w:sz w:val="18"/>
                <w:szCs w:val="18"/>
                <w:lang w:val="en-US"/>
              </w:rPr>
            </w:pPr>
          </w:p>
        </w:tc>
        <w:tc>
          <w:tcPr>
            <w:tcW w:w="2380" w:type="dxa"/>
            <w:shd w:val="clear" w:color="auto" w:fill="auto"/>
            <w:tcMar>
              <w:left w:w="100" w:type="dxa"/>
              <w:right w:w="100" w:type="dxa"/>
            </w:tcMar>
          </w:tcPr>
          <w:p w14:paraId="350A1E46" w14:textId="2BAB4040" w:rsidR="002F7440" w:rsidRPr="008515C4"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(-1.60)</w:t>
            </w:r>
          </w:p>
        </w:tc>
        <w:tc>
          <w:tcPr>
            <w:tcW w:w="1843" w:type="dxa"/>
            <w:shd w:val="clear" w:color="auto" w:fill="auto"/>
            <w:tcMar>
              <w:left w:w="100" w:type="dxa"/>
              <w:right w:w="100" w:type="dxa"/>
            </w:tcMar>
          </w:tcPr>
          <w:p w14:paraId="60382DD5" w14:textId="172D6E00" w:rsidR="002F7440" w:rsidRPr="008515C4"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(-0.36)</w:t>
            </w:r>
          </w:p>
        </w:tc>
      </w:tr>
      <w:tr w:rsidR="002F7440" w:rsidRPr="003348F5" w14:paraId="6E028DF7" w14:textId="77777777" w:rsidTr="002F7440">
        <w:tc>
          <w:tcPr>
            <w:tcW w:w="2340" w:type="dxa"/>
            <w:shd w:val="clear" w:color="auto" w:fill="auto"/>
            <w:tcMar>
              <w:left w:w="100" w:type="dxa"/>
              <w:right w:w="100" w:type="dxa"/>
            </w:tcMar>
          </w:tcPr>
          <w:p w14:paraId="26078329" w14:textId="5B2EC34C" w:rsidR="002F7440" w:rsidRDefault="002F7440"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TPF</w:t>
            </w:r>
          </w:p>
        </w:tc>
        <w:tc>
          <w:tcPr>
            <w:tcW w:w="2380" w:type="dxa"/>
            <w:shd w:val="clear" w:color="auto" w:fill="auto"/>
            <w:tcMar>
              <w:left w:w="100" w:type="dxa"/>
              <w:right w:w="100" w:type="dxa"/>
            </w:tcMar>
          </w:tcPr>
          <w:p w14:paraId="093F742B" w14:textId="6CADB07E" w:rsidR="002F7440" w:rsidRPr="008515C4"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-0.81</w:t>
            </w:r>
          </w:p>
        </w:tc>
        <w:tc>
          <w:tcPr>
            <w:tcW w:w="1843" w:type="dxa"/>
            <w:shd w:val="clear" w:color="auto" w:fill="auto"/>
            <w:tcMar>
              <w:left w:w="100" w:type="dxa"/>
              <w:right w:w="100" w:type="dxa"/>
            </w:tcMar>
          </w:tcPr>
          <w:p w14:paraId="625858E8" w14:textId="101302DB" w:rsidR="002F7440" w:rsidRPr="008515C4"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-0.19</w:t>
            </w:r>
          </w:p>
        </w:tc>
      </w:tr>
      <w:tr w:rsidR="002F7440" w:rsidRPr="003348F5" w14:paraId="62208F2E" w14:textId="77777777" w:rsidTr="002F7440">
        <w:tc>
          <w:tcPr>
            <w:tcW w:w="2340" w:type="dxa"/>
            <w:shd w:val="clear" w:color="auto" w:fill="auto"/>
            <w:tcMar>
              <w:left w:w="100" w:type="dxa"/>
              <w:right w:w="100" w:type="dxa"/>
            </w:tcMar>
          </w:tcPr>
          <w:p w14:paraId="730D2268" w14:textId="75C9E7A5" w:rsidR="002F7440" w:rsidRPr="002F7440" w:rsidRDefault="002F7440" w:rsidP="00271D3C">
            <w:pPr>
              <w:pStyle w:val="NormalWeb"/>
              <w:spacing w:before="40" w:beforeAutospacing="0" w:after="40" w:afterAutospacing="0" w:line="240" w:lineRule="auto"/>
              <w:contextualSpacing/>
              <w:rPr>
                <w:rFonts w:cs="Calibri"/>
                <w:sz w:val="18"/>
                <w:szCs w:val="18"/>
                <w:lang w:val="en-US"/>
              </w:rPr>
            </w:pPr>
          </w:p>
        </w:tc>
        <w:tc>
          <w:tcPr>
            <w:tcW w:w="2380" w:type="dxa"/>
            <w:shd w:val="clear" w:color="auto" w:fill="auto"/>
            <w:tcMar>
              <w:left w:w="100" w:type="dxa"/>
              <w:right w:w="100" w:type="dxa"/>
            </w:tcMar>
          </w:tcPr>
          <w:p w14:paraId="59EDDC5A" w14:textId="542DB6D0" w:rsidR="002F7440" w:rsidRPr="008515C4"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(-1.22)</w:t>
            </w:r>
          </w:p>
        </w:tc>
        <w:tc>
          <w:tcPr>
            <w:tcW w:w="1843" w:type="dxa"/>
            <w:shd w:val="clear" w:color="auto" w:fill="auto"/>
            <w:tcMar>
              <w:left w:w="100" w:type="dxa"/>
              <w:right w:w="100" w:type="dxa"/>
            </w:tcMar>
          </w:tcPr>
          <w:p w14:paraId="152B4A2E" w14:textId="3E7B8473" w:rsidR="002F7440" w:rsidRPr="008515C4"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(-0.25)</w:t>
            </w:r>
          </w:p>
        </w:tc>
      </w:tr>
      <w:tr w:rsidR="002F7440" w:rsidRPr="003348F5" w14:paraId="086F6470" w14:textId="77777777" w:rsidTr="002F7440">
        <w:tc>
          <w:tcPr>
            <w:tcW w:w="2340" w:type="dxa"/>
            <w:shd w:val="clear" w:color="auto" w:fill="auto"/>
            <w:tcMar>
              <w:left w:w="100" w:type="dxa"/>
              <w:right w:w="100" w:type="dxa"/>
            </w:tcMar>
          </w:tcPr>
          <w:p w14:paraId="51BC9358" w14:textId="0855E219" w:rsidR="002F7440" w:rsidRDefault="002F7440"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TPF*IC</w:t>
            </w:r>
          </w:p>
        </w:tc>
        <w:tc>
          <w:tcPr>
            <w:tcW w:w="2380" w:type="dxa"/>
            <w:shd w:val="clear" w:color="auto" w:fill="auto"/>
            <w:tcMar>
              <w:left w:w="100" w:type="dxa"/>
              <w:right w:w="100" w:type="dxa"/>
            </w:tcMar>
          </w:tcPr>
          <w:p w14:paraId="4A6D7228" w14:textId="2E27018E" w:rsidR="002F7440"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0.88</w:t>
            </w:r>
          </w:p>
        </w:tc>
        <w:tc>
          <w:tcPr>
            <w:tcW w:w="1843" w:type="dxa"/>
            <w:shd w:val="clear" w:color="auto" w:fill="auto"/>
            <w:tcMar>
              <w:left w:w="100" w:type="dxa"/>
              <w:right w:w="100" w:type="dxa"/>
            </w:tcMar>
          </w:tcPr>
          <w:p w14:paraId="63C1448B" w14:textId="5D516CB3" w:rsidR="002F7440"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0.29</w:t>
            </w:r>
          </w:p>
        </w:tc>
      </w:tr>
      <w:tr w:rsidR="002F7440" w:rsidRPr="003348F5" w14:paraId="132BBF3E" w14:textId="77777777" w:rsidTr="002F7440">
        <w:tc>
          <w:tcPr>
            <w:tcW w:w="2340" w:type="dxa"/>
            <w:shd w:val="clear" w:color="auto" w:fill="auto"/>
            <w:tcMar>
              <w:left w:w="100" w:type="dxa"/>
              <w:right w:w="100" w:type="dxa"/>
            </w:tcMar>
          </w:tcPr>
          <w:p w14:paraId="346CCB4B" w14:textId="77777777" w:rsidR="002F7440" w:rsidRDefault="002F7440" w:rsidP="00271D3C">
            <w:pPr>
              <w:pStyle w:val="NormalWeb"/>
              <w:spacing w:before="40" w:beforeAutospacing="0" w:after="40" w:afterAutospacing="0" w:line="240" w:lineRule="auto"/>
              <w:contextualSpacing/>
              <w:rPr>
                <w:rFonts w:cs="Calibri"/>
                <w:sz w:val="18"/>
                <w:szCs w:val="18"/>
                <w:lang w:val="en-US"/>
              </w:rPr>
            </w:pPr>
          </w:p>
        </w:tc>
        <w:tc>
          <w:tcPr>
            <w:tcW w:w="2380" w:type="dxa"/>
            <w:shd w:val="clear" w:color="auto" w:fill="auto"/>
            <w:tcMar>
              <w:left w:w="100" w:type="dxa"/>
              <w:right w:w="100" w:type="dxa"/>
            </w:tcMar>
          </w:tcPr>
          <w:p w14:paraId="4CBFD556" w14:textId="2E15DE87" w:rsidR="002F7440"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(0.75)</w:t>
            </w:r>
          </w:p>
        </w:tc>
        <w:tc>
          <w:tcPr>
            <w:tcW w:w="1843" w:type="dxa"/>
            <w:shd w:val="clear" w:color="auto" w:fill="auto"/>
            <w:tcMar>
              <w:left w:w="100" w:type="dxa"/>
              <w:right w:w="100" w:type="dxa"/>
            </w:tcMar>
          </w:tcPr>
          <w:p w14:paraId="76681CF4" w14:textId="5751FEC4" w:rsidR="002F7440"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(0.22)</w:t>
            </w:r>
          </w:p>
        </w:tc>
      </w:tr>
      <w:tr w:rsidR="002F7440" w:rsidRPr="003348F5" w14:paraId="7E6B9F0C" w14:textId="77777777" w:rsidTr="002F7440">
        <w:tc>
          <w:tcPr>
            <w:tcW w:w="2340" w:type="dxa"/>
            <w:shd w:val="clear" w:color="auto" w:fill="auto"/>
            <w:tcMar>
              <w:left w:w="100" w:type="dxa"/>
              <w:right w:w="100" w:type="dxa"/>
            </w:tcMar>
          </w:tcPr>
          <w:p w14:paraId="10547815" w14:textId="636499F0" w:rsidR="002F7440" w:rsidRDefault="002F7440"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TPF*ZPR</w:t>
            </w:r>
          </w:p>
        </w:tc>
        <w:tc>
          <w:tcPr>
            <w:tcW w:w="2380" w:type="dxa"/>
            <w:shd w:val="clear" w:color="auto" w:fill="auto"/>
            <w:tcMar>
              <w:left w:w="100" w:type="dxa"/>
              <w:right w:w="100" w:type="dxa"/>
            </w:tcMar>
          </w:tcPr>
          <w:p w14:paraId="138F66D8" w14:textId="3AD0D3F3" w:rsidR="002F7440"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0.50</w:t>
            </w:r>
          </w:p>
        </w:tc>
        <w:tc>
          <w:tcPr>
            <w:tcW w:w="1843" w:type="dxa"/>
            <w:shd w:val="clear" w:color="auto" w:fill="auto"/>
            <w:tcMar>
              <w:left w:w="100" w:type="dxa"/>
              <w:right w:w="100" w:type="dxa"/>
            </w:tcMar>
          </w:tcPr>
          <w:p w14:paraId="7F691C32" w14:textId="02C0E7B4" w:rsidR="002F7440"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0.03</w:t>
            </w:r>
          </w:p>
        </w:tc>
      </w:tr>
      <w:tr w:rsidR="002F7440" w:rsidRPr="003348F5" w14:paraId="77EDAFB0" w14:textId="77777777" w:rsidTr="002F7440">
        <w:tc>
          <w:tcPr>
            <w:tcW w:w="2340" w:type="dxa"/>
            <w:shd w:val="clear" w:color="auto" w:fill="auto"/>
            <w:tcMar>
              <w:left w:w="100" w:type="dxa"/>
              <w:right w:w="100" w:type="dxa"/>
            </w:tcMar>
          </w:tcPr>
          <w:p w14:paraId="01C19D5A" w14:textId="77777777" w:rsidR="002F7440" w:rsidRDefault="002F7440" w:rsidP="00271D3C">
            <w:pPr>
              <w:pStyle w:val="NormalWeb"/>
              <w:spacing w:before="40" w:beforeAutospacing="0" w:after="40" w:afterAutospacing="0" w:line="240" w:lineRule="auto"/>
              <w:contextualSpacing/>
              <w:rPr>
                <w:rFonts w:cs="Calibri"/>
                <w:sz w:val="18"/>
                <w:szCs w:val="18"/>
                <w:lang w:val="en-US"/>
              </w:rPr>
            </w:pPr>
          </w:p>
        </w:tc>
        <w:tc>
          <w:tcPr>
            <w:tcW w:w="2380" w:type="dxa"/>
            <w:shd w:val="clear" w:color="auto" w:fill="auto"/>
            <w:tcMar>
              <w:left w:w="100" w:type="dxa"/>
              <w:right w:w="100" w:type="dxa"/>
            </w:tcMar>
          </w:tcPr>
          <w:p w14:paraId="7BBE4143" w14:textId="766CB75D" w:rsidR="002F7440"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(1.59</w:t>
            </w:r>
            <w:r w:rsidR="00BF6C9F">
              <w:rPr>
                <w:rFonts w:eastAsia="Calibri Light" w:cs="Calibri"/>
                <w:sz w:val="18"/>
                <w:szCs w:val="18"/>
                <w:lang w:val="en-US"/>
              </w:rPr>
              <w:t>)</w:t>
            </w:r>
          </w:p>
        </w:tc>
        <w:tc>
          <w:tcPr>
            <w:tcW w:w="1843" w:type="dxa"/>
            <w:shd w:val="clear" w:color="auto" w:fill="auto"/>
            <w:tcMar>
              <w:left w:w="100" w:type="dxa"/>
              <w:right w:w="100" w:type="dxa"/>
            </w:tcMar>
          </w:tcPr>
          <w:p w14:paraId="4CDA90B1" w14:textId="10297819" w:rsidR="002F7440"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(0.98)</w:t>
            </w:r>
          </w:p>
        </w:tc>
      </w:tr>
      <w:tr w:rsidR="002F7440" w:rsidRPr="003348F5" w14:paraId="68A1A461" w14:textId="77777777" w:rsidTr="00420F29">
        <w:tc>
          <w:tcPr>
            <w:tcW w:w="2340" w:type="dxa"/>
            <w:tcBorders>
              <w:bottom w:val="single" w:sz="4" w:space="0" w:color="auto"/>
            </w:tcBorders>
            <w:shd w:val="clear" w:color="auto" w:fill="auto"/>
            <w:tcMar>
              <w:left w:w="100" w:type="dxa"/>
              <w:right w:w="100" w:type="dxa"/>
            </w:tcMar>
          </w:tcPr>
          <w:p w14:paraId="27D6EFA6" w14:textId="1C2BFA4D" w:rsidR="002F7440" w:rsidRDefault="002F7440"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N</w:t>
            </w:r>
          </w:p>
        </w:tc>
        <w:tc>
          <w:tcPr>
            <w:tcW w:w="2380" w:type="dxa"/>
            <w:tcBorders>
              <w:bottom w:val="single" w:sz="4" w:space="0" w:color="auto"/>
            </w:tcBorders>
            <w:shd w:val="clear" w:color="auto" w:fill="auto"/>
            <w:tcMar>
              <w:left w:w="100" w:type="dxa"/>
              <w:right w:w="100" w:type="dxa"/>
            </w:tcMar>
          </w:tcPr>
          <w:p w14:paraId="7BB4716B" w14:textId="2E67ECAD" w:rsidR="002F7440"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77</w:t>
            </w:r>
          </w:p>
        </w:tc>
        <w:tc>
          <w:tcPr>
            <w:tcW w:w="1843" w:type="dxa"/>
            <w:tcBorders>
              <w:bottom w:val="single" w:sz="4" w:space="0" w:color="auto"/>
            </w:tcBorders>
            <w:shd w:val="clear" w:color="auto" w:fill="auto"/>
            <w:tcMar>
              <w:left w:w="100" w:type="dxa"/>
              <w:right w:w="100" w:type="dxa"/>
            </w:tcMar>
          </w:tcPr>
          <w:p w14:paraId="547005F7" w14:textId="09305D8C" w:rsidR="002F7440" w:rsidRDefault="002F7440" w:rsidP="00271D3C">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77</w:t>
            </w:r>
          </w:p>
        </w:tc>
      </w:tr>
      <w:tr w:rsidR="00BF6C9F" w:rsidRPr="003348F5" w14:paraId="7D9063E7" w14:textId="77777777" w:rsidTr="00420F29">
        <w:tc>
          <w:tcPr>
            <w:tcW w:w="6563" w:type="dxa"/>
            <w:gridSpan w:val="3"/>
            <w:tcBorders>
              <w:top w:val="single" w:sz="4" w:space="0" w:color="auto"/>
              <w:bottom w:val="single" w:sz="4" w:space="0" w:color="auto"/>
            </w:tcBorders>
            <w:shd w:val="clear" w:color="auto" w:fill="auto"/>
            <w:tcMar>
              <w:left w:w="100" w:type="dxa"/>
              <w:right w:w="100" w:type="dxa"/>
            </w:tcMar>
          </w:tcPr>
          <w:p w14:paraId="5BF5BE3F" w14:textId="179E1DE0" w:rsidR="00BF6C9F" w:rsidRDefault="00BF6C9F" w:rsidP="00BF6C9F">
            <w:pPr>
              <w:pStyle w:val="NormalWeb"/>
              <w:spacing w:before="40" w:beforeAutospacing="0" w:after="40" w:afterAutospacing="0" w:line="240" w:lineRule="auto"/>
              <w:contextualSpacing/>
              <w:jc w:val="both"/>
              <w:rPr>
                <w:rFonts w:eastAsia="Calibri Light" w:cs="Calibri"/>
                <w:sz w:val="18"/>
                <w:szCs w:val="18"/>
                <w:lang w:val="en-US"/>
              </w:rPr>
            </w:pPr>
            <w:r w:rsidRPr="002F7440">
              <w:rPr>
                <w:rFonts w:eastAsia="Calibri Light" w:cs="Calibri"/>
                <w:b/>
                <w:bCs/>
                <w:sz w:val="18"/>
                <w:szCs w:val="18"/>
                <w:lang w:val="en-US"/>
              </w:rPr>
              <w:t>Notes:</w:t>
            </w:r>
            <w:r>
              <w:rPr>
                <w:rFonts w:eastAsia="Calibri Light" w:cs="Calibri"/>
                <w:sz w:val="18"/>
                <w:szCs w:val="18"/>
                <w:lang w:val="en-US"/>
              </w:rPr>
              <w:t xml:space="preserve"> </w:t>
            </w:r>
            <w:proofErr w:type="spellStart"/>
            <w:r>
              <w:rPr>
                <w:rFonts w:eastAsia="Calibri Light" w:cs="Calibri"/>
                <w:sz w:val="18"/>
                <w:szCs w:val="18"/>
                <w:lang w:val="en-US"/>
              </w:rPr>
              <w:t>Tabel</w:t>
            </w:r>
            <w:proofErr w:type="spellEnd"/>
            <w:r>
              <w:rPr>
                <w:rFonts w:eastAsia="Calibri Light" w:cs="Calibri"/>
                <w:sz w:val="18"/>
                <w:szCs w:val="18"/>
                <w:lang w:val="en-US"/>
              </w:rPr>
              <w:t xml:space="preserve"> </w:t>
            </w:r>
            <w:proofErr w:type="spellStart"/>
            <w:r>
              <w:rPr>
                <w:rFonts w:eastAsia="Calibri Light" w:cs="Calibri"/>
                <w:sz w:val="18"/>
                <w:szCs w:val="18"/>
                <w:lang w:val="en-US"/>
              </w:rPr>
              <w:t>ini</w:t>
            </w:r>
            <w:proofErr w:type="spellEnd"/>
            <w:r>
              <w:rPr>
                <w:rFonts w:eastAsia="Calibri Light" w:cs="Calibri"/>
                <w:sz w:val="18"/>
                <w:szCs w:val="18"/>
                <w:lang w:val="en-US"/>
              </w:rPr>
              <w:t xml:space="preserve"> </w:t>
            </w:r>
            <w:proofErr w:type="spellStart"/>
            <w:r>
              <w:rPr>
                <w:rFonts w:eastAsia="Calibri Light" w:cs="Calibri"/>
                <w:sz w:val="18"/>
                <w:szCs w:val="18"/>
                <w:lang w:val="en-US"/>
              </w:rPr>
              <w:t>menyajikan</w:t>
            </w:r>
            <w:proofErr w:type="spellEnd"/>
            <w:r>
              <w:rPr>
                <w:rFonts w:eastAsia="Calibri Light" w:cs="Calibri"/>
                <w:sz w:val="18"/>
                <w:szCs w:val="18"/>
                <w:lang w:val="en-US"/>
              </w:rPr>
              <w:t xml:space="preserve"> moderated regression analysis (MRA) </w:t>
            </w:r>
            <w:proofErr w:type="spellStart"/>
            <w:r>
              <w:rPr>
                <w:rFonts w:eastAsia="Calibri Light" w:cs="Calibri"/>
                <w:sz w:val="18"/>
                <w:szCs w:val="18"/>
                <w:lang w:val="en-US"/>
              </w:rPr>
              <w:t>untuk</w:t>
            </w:r>
            <w:proofErr w:type="spellEnd"/>
            <w:r>
              <w:rPr>
                <w:rFonts w:eastAsia="Calibri Light" w:cs="Calibri"/>
                <w:sz w:val="18"/>
                <w:szCs w:val="18"/>
                <w:lang w:val="en-US"/>
              </w:rPr>
              <w:t xml:space="preserve"> </w:t>
            </w:r>
            <w:proofErr w:type="spellStart"/>
            <w:r>
              <w:rPr>
                <w:rFonts w:eastAsia="Calibri Light" w:cs="Calibri"/>
                <w:sz w:val="18"/>
                <w:szCs w:val="18"/>
                <w:lang w:val="en-US"/>
              </w:rPr>
              <w:t>untuk</w:t>
            </w:r>
            <w:proofErr w:type="spellEnd"/>
            <w:r>
              <w:rPr>
                <w:rFonts w:eastAsia="Calibri Light" w:cs="Calibri"/>
                <w:sz w:val="18"/>
                <w:szCs w:val="18"/>
                <w:lang w:val="en-US"/>
              </w:rPr>
              <w:t xml:space="preserve"> </w:t>
            </w:r>
            <w:proofErr w:type="spellStart"/>
            <w:r>
              <w:rPr>
                <w:rFonts w:eastAsia="Calibri Light" w:cs="Calibri"/>
                <w:sz w:val="18"/>
                <w:szCs w:val="18"/>
                <w:lang w:val="en-US"/>
              </w:rPr>
              <w:t>menguji</w:t>
            </w:r>
            <w:proofErr w:type="spellEnd"/>
            <w:r>
              <w:rPr>
                <w:rFonts w:eastAsia="Calibri Light" w:cs="Calibri"/>
                <w:sz w:val="18"/>
                <w:szCs w:val="18"/>
                <w:lang w:val="en-US"/>
              </w:rPr>
              <w:t xml:space="preserve"> variable </w:t>
            </w:r>
            <w:proofErr w:type="spellStart"/>
            <w:r>
              <w:rPr>
                <w:rFonts w:eastAsia="Calibri Light" w:cs="Calibri"/>
                <w:sz w:val="18"/>
                <w:szCs w:val="18"/>
                <w:lang w:val="en-US"/>
              </w:rPr>
              <w:t>moderasi</w:t>
            </w:r>
            <w:proofErr w:type="spellEnd"/>
            <w:r>
              <w:rPr>
                <w:rFonts w:eastAsia="Calibri Light" w:cs="Calibri"/>
                <w:sz w:val="18"/>
                <w:szCs w:val="18"/>
                <w:lang w:val="en-US"/>
              </w:rPr>
              <w:t xml:space="preserve">. </w:t>
            </w:r>
            <w:proofErr w:type="spellStart"/>
            <w:r>
              <w:rPr>
                <w:rFonts w:eastAsia="Calibri Light" w:cs="Calibri"/>
                <w:sz w:val="18"/>
                <w:szCs w:val="18"/>
                <w:lang w:val="en-US"/>
              </w:rPr>
              <w:t>Sampel</w:t>
            </w:r>
            <w:proofErr w:type="spellEnd"/>
            <w:r>
              <w:rPr>
                <w:rFonts w:eastAsia="Calibri Light" w:cs="Calibri"/>
                <w:sz w:val="18"/>
                <w:szCs w:val="18"/>
                <w:lang w:val="en-US"/>
              </w:rPr>
              <w:t xml:space="preserve"> </w:t>
            </w:r>
            <w:proofErr w:type="spellStart"/>
            <w:r>
              <w:rPr>
                <w:rFonts w:eastAsia="Calibri Light" w:cs="Calibri"/>
                <w:sz w:val="18"/>
                <w:szCs w:val="18"/>
                <w:lang w:val="en-US"/>
              </w:rPr>
              <w:t>terdiri</w:t>
            </w:r>
            <w:proofErr w:type="spellEnd"/>
            <w:r>
              <w:rPr>
                <w:rFonts w:eastAsia="Calibri Light" w:cs="Calibri"/>
                <w:sz w:val="18"/>
                <w:szCs w:val="18"/>
                <w:lang w:val="en-US"/>
              </w:rPr>
              <w:t xml:space="preserve"> </w:t>
            </w:r>
            <w:proofErr w:type="spellStart"/>
            <w:r>
              <w:rPr>
                <w:rFonts w:eastAsia="Calibri Light" w:cs="Calibri"/>
                <w:sz w:val="18"/>
                <w:szCs w:val="18"/>
                <w:lang w:val="en-US"/>
              </w:rPr>
              <w:t>dari</w:t>
            </w:r>
            <w:proofErr w:type="spellEnd"/>
            <w:r>
              <w:rPr>
                <w:rFonts w:eastAsia="Calibri Light" w:cs="Calibri"/>
                <w:sz w:val="18"/>
                <w:szCs w:val="18"/>
                <w:lang w:val="en-US"/>
              </w:rPr>
              <w:t xml:space="preserve"> Bank Syariah yang </w:t>
            </w:r>
            <w:proofErr w:type="spellStart"/>
            <w:r>
              <w:rPr>
                <w:rFonts w:eastAsia="Calibri Light" w:cs="Calibri"/>
                <w:sz w:val="18"/>
                <w:szCs w:val="18"/>
                <w:lang w:val="en-US"/>
              </w:rPr>
              <w:t>terdaftar</w:t>
            </w:r>
            <w:proofErr w:type="spellEnd"/>
            <w:r>
              <w:rPr>
                <w:rFonts w:eastAsia="Calibri Light" w:cs="Calibri"/>
                <w:sz w:val="18"/>
                <w:szCs w:val="18"/>
                <w:lang w:val="en-US"/>
              </w:rPr>
              <w:t xml:space="preserve"> </w:t>
            </w:r>
            <w:proofErr w:type="spellStart"/>
            <w:r>
              <w:rPr>
                <w:rFonts w:eastAsia="Calibri Light" w:cs="Calibri"/>
                <w:sz w:val="18"/>
                <w:szCs w:val="18"/>
                <w:lang w:val="en-US"/>
              </w:rPr>
              <w:t>dalam</w:t>
            </w:r>
            <w:proofErr w:type="spellEnd"/>
            <w:r>
              <w:rPr>
                <w:rFonts w:eastAsia="Calibri Light" w:cs="Calibri"/>
                <w:sz w:val="18"/>
                <w:szCs w:val="18"/>
                <w:lang w:val="en-US"/>
              </w:rPr>
              <w:t xml:space="preserve"> Bursa </w:t>
            </w:r>
            <w:proofErr w:type="spellStart"/>
            <w:r>
              <w:rPr>
                <w:rFonts w:eastAsia="Calibri Light" w:cs="Calibri"/>
                <w:sz w:val="18"/>
                <w:szCs w:val="18"/>
                <w:lang w:val="en-US"/>
              </w:rPr>
              <w:t>Efek</w:t>
            </w:r>
            <w:proofErr w:type="spellEnd"/>
            <w:r>
              <w:rPr>
                <w:rFonts w:eastAsia="Calibri Light" w:cs="Calibri"/>
                <w:sz w:val="18"/>
                <w:szCs w:val="18"/>
                <w:lang w:val="en-US"/>
              </w:rPr>
              <w:t xml:space="preserve"> Indonesia </w:t>
            </w:r>
            <w:proofErr w:type="spellStart"/>
            <w:r>
              <w:rPr>
                <w:rFonts w:eastAsia="Calibri Light" w:cs="Calibri"/>
                <w:sz w:val="18"/>
                <w:szCs w:val="18"/>
                <w:lang w:val="en-US"/>
              </w:rPr>
              <w:t>dari</w:t>
            </w:r>
            <w:proofErr w:type="spellEnd"/>
            <w:r>
              <w:rPr>
                <w:rFonts w:eastAsia="Calibri Light" w:cs="Calibri"/>
                <w:sz w:val="18"/>
                <w:szCs w:val="18"/>
                <w:lang w:val="en-US"/>
              </w:rPr>
              <w:t xml:space="preserve"> 2014 </w:t>
            </w:r>
            <w:proofErr w:type="spellStart"/>
            <w:r>
              <w:rPr>
                <w:rFonts w:eastAsia="Calibri Light" w:cs="Calibri"/>
                <w:sz w:val="18"/>
                <w:szCs w:val="18"/>
                <w:lang w:val="en-US"/>
              </w:rPr>
              <w:t>sampai</w:t>
            </w:r>
            <w:proofErr w:type="spellEnd"/>
            <w:r>
              <w:rPr>
                <w:rFonts w:eastAsia="Calibri Light" w:cs="Calibri"/>
                <w:sz w:val="18"/>
                <w:szCs w:val="18"/>
                <w:lang w:val="en-US"/>
              </w:rPr>
              <w:t xml:space="preserve"> 2020.</w:t>
            </w:r>
          </w:p>
        </w:tc>
      </w:tr>
    </w:tbl>
    <w:p w14:paraId="353630C9" w14:textId="77777777" w:rsidR="002F7440" w:rsidRPr="002F7440" w:rsidRDefault="002F7440" w:rsidP="002F7440">
      <w:pPr>
        <w:pStyle w:val="ISI"/>
        <w:ind w:firstLine="0"/>
        <w:rPr>
          <w:rFonts w:ascii="Calibri" w:hAnsi="Calibri" w:cs="Calibri"/>
          <w:sz w:val="20"/>
          <w:szCs w:val="20"/>
          <w:lang w:val="en-US"/>
        </w:rPr>
      </w:pPr>
      <w:proofErr w:type="spellStart"/>
      <w:r w:rsidRPr="002F7440">
        <w:rPr>
          <w:rFonts w:ascii="Calibri" w:hAnsi="Calibri" w:cs="Calibri"/>
          <w:sz w:val="20"/>
          <w:szCs w:val="20"/>
          <w:lang w:val="en-US"/>
        </w:rPr>
        <w:t>Sumber</w:t>
      </w:r>
      <w:proofErr w:type="spellEnd"/>
      <w:r w:rsidRPr="002F7440">
        <w:rPr>
          <w:rFonts w:ascii="Calibri" w:hAnsi="Calibri" w:cs="Calibri"/>
          <w:sz w:val="20"/>
          <w:szCs w:val="20"/>
          <w:lang w:val="en-US"/>
        </w:rPr>
        <w:t xml:space="preserve">: data </w:t>
      </w:r>
      <w:proofErr w:type="spellStart"/>
      <w:r w:rsidRPr="002F7440">
        <w:rPr>
          <w:rFonts w:ascii="Calibri" w:hAnsi="Calibri" w:cs="Calibri"/>
          <w:sz w:val="20"/>
          <w:szCs w:val="20"/>
          <w:lang w:val="en-US"/>
        </w:rPr>
        <w:t>diolah</w:t>
      </w:r>
      <w:proofErr w:type="spellEnd"/>
      <w:r w:rsidRPr="002F7440">
        <w:rPr>
          <w:rFonts w:ascii="Calibri" w:hAnsi="Calibri" w:cs="Calibri"/>
          <w:sz w:val="20"/>
          <w:szCs w:val="20"/>
          <w:lang w:val="en-US"/>
        </w:rPr>
        <w:t xml:space="preserve"> </w:t>
      </w:r>
      <w:proofErr w:type="spellStart"/>
      <w:r w:rsidRPr="002F7440">
        <w:rPr>
          <w:rFonts w:ascii="Calibri" w:hAnsi="Calibri" w:cs="Calibri"/>
          <w:sz w:val="20"/>
          <w:szCs w:val="20"/>
          <w:lang w:val="en-US"/>
        </w:rPr>
        <w:t>peneliti</w:t>
      </w:r>
      <w:proofErr w:type="spellEnd"/>
      <w:r w:rsidRPr="002F7440">
        <w:rPr>
          <w:rFonts w:ascii="Calibri" w:hAnsi="Calibri" w:cs="Calibri"/>
          <w:sz w:val="20"/>
          <w:szCs w:val="20"/>
          <w:lang w:val="en-US"/>
        </w:rPr>
        <w:t>, 2022</w:t>
      </w:r>
    </w:p>
    <w:p w14:paraId="2D6C2E04" w14:textId="77777777" w:rsidR="009B3DA6" w:rsidRDefault="009B3DA6" w:rsidP="00322E93">
      <w:pPr>
        <w:pStyle w:val="ISI"/>
        <w:ind w:firstLine="0"/>
        <w:rPr>
          <w:lang w:val="en-US"/>
        </w:rPr>
      </w:pPr>
    </w:p>
    <w:p w14:paraId="0E71CDB5" w14:textId="50E6F343" w:rsidR="00BF6C9F" w:rsidRPr="00BF6C9F" w:rsidRDefault="00BF6C9F" w:rsidP="00322E93">
      <w:pPr>
        <w:pStyle w:val="ISI"/>
        <w:ind w:firstLine="0"/>
        <w:rPr>
          <w:rFonts w:ascii="Calibri" w:hAnsi="Calibri" w:cs="Calibri"/>
          <w:sz w:val="20"/>
          <w:szCs w:val="20"/>
          <w:lang w:val="en-US"/>
        </w:rPr>
      </w:pPr>
      <w:r w:rsidRPr="00BF6C9F">
        <w:rPr>
          <w:rFonts w:ascii="Calibri" w:hAnsi="Calibri" w:cs="Calibri"/>
          <w:b/>
          <w:bCs/>
          <w:sz w:val="20"/>
          <w:szCs w:val="20"/>
          <w:lang w:val="en-US"/>
        </w:rPr>
        <w:t>Table 5.</w:t>
      </w:r>
      <w:r w:rsidRPr="00BF6C9F">
        <w:rPr>
          <w:rFonts w:ascii="Calibri" w:hAnsi="Calibri" w:cs="Calibri"/>
          <w:sz w:val="20"/>
          <w:szCs w:val="20"/>
          <w:lang w:val="en-US"/>
        </w:rPr>
        <w:t xml:space="preserve"> Results of the Hypothesis Test</w:t>
      </w:r>
    </w:p>
    <w:tbl>
      <w:tblPr>
        <w:tblW w:w="6563" w:type="dxa"/>
        <w:tblInd w:w="100" w:type="dxa"/>
        <w:tblLayout w:type="fixed"/>
        <w:tblCellMar>
          <w:left w:w="0" w:type="dxa"/>
          <w:right w:w="0" w:type="dxa"/>
        </w:tblCellMar>
        <w:tblLook w:val="04A0" w:firstRow="1" w:lastRow="0" w:firstColumn="1" w:lastColumn="0" w:noHBand="0" w:noVBand="1"/>
      </w:tblPr>
      <w:tblGrid>
        <w:gridCol w:w="467"/>
        <w:gridCol w:w="1418"/>
        <w:gridCol w:w="1134"/>
        <w:gridCol w:w="800"/>
        <w:gridCol w:w="901"/>
        <w:gridCol w:w="1843"/>
      </w:tblGrid>
      <w:tr w:rsidR="00BF6C9F" w:rsidRPr="003348F5" w14:paraId="30D84128" w14:textId="77777777" w:rsidTr="00BF6C9F">
        <w:tc>
          <w:tcPr>
            <w:tcW w:w="467" w:type="dxa"/>
            <w:tcBorders>
              <w:top w:val="single" w:sz="2" w:space="0" w:color="000000"/>
              <w:bottom w:val="single" w:sz="2" w:space="0" w:color="000000"/>
            </w:tcBorders>
          </w:tcPr>
          <w:p w14:paraId="62E721F3" w14:textId="77777777" w:rsidR="00BF6C9F" w:rsidRDefault="00BF6C9F" w:rsidP="00271D3C">
            <w:pPr>
              <w:pStyle w:val="NormalWeb"/>
              <w:spacing w:before="40" w:beforeAutospacing="0" w:after="40" w:afterAutospacing="0" w:line="240" w:lineRule="auto"/>
              <w:contextualSpacing/>
              <w:jc w:val="center"/>
              <w:rPr>
                <w:rFonts w:eastAsia="Calibri Light" w:cs="Calibri"/>
                <w:b/>
                <w:sz w:val="18"/>
                <w:szCs w:val="18"/>
                <w:lang w:val="en-US"/>
              </w:rPr>
            </w:pPr>
          </w:p>
        </w:tc>
        <w:tc>
          <w:tcPr>
            <w:tcW w:w="1418" w:type="dxa"/>
            <w:tcBorders>
              <w:top w:val="single" w:sz="2" w:space="0" w:color="000000"/>
              <w:bottom w:val="single" w:sz="2" w:space="0" w:color="000000"/>
            </w:tcBorders>
            <w:shd w:val="clear" w:color="auto" w:fill="auto"/>
            <w:tcMar>
              <w:left w:w="100" w:type="dxa"/>
              <w:right w:w="100" w:type="dxa"/>
            </w:tcMar>
          </w:tcPr>
          <w:p w14:paraId="58F74FFE" w14:textId="34F62B47" w:rsidR="00BF6C9F" w:rsidRPr="00BF6C9F" w:rsidRDefault="00BF6C9F" w:rsidP="00271D3C">
            <w:pPr>
              <w:pStyle w:val="NormalWeb"/>
              <w:spacing w:before="40" w:beforeAutospacing="0" w:after="40" w:afterAutospacing="0" w:line="240" w:lineRule="auto"/>
              <w:contextualSpacing/>
              <w:jc w:val="center"/>
              <w:rPr>
                <w:rFonts w:cs="Calibri"/>
                <w:sz w:val="18"/>
                <w:szCs w:val="18"/>
                <w:lang w:val="en-US"/>
              </w:rPr>
            </w:pPr>
            <w:r>
              <w:rPr>
                <w:rFonts w:eastAsia="Calibri Light" w:cs="Calibri"/>
                <w:b/>
                <w:sz w:val="18"/>
                <w:szCs w:val="18"/>
                <w:lang w:val="en-US"/>
              </w:rPr>
              <w:t>Hypothesis</w:t>
            </w:r>
          </w:p>
        </w:tc>
        <w:tc>
          <w:tcPr>
            <w:tcW w:w="1134" w:type="dxa"/>
            <w:tcBorders>
              <w:top w:val="single" w:sz="2" w:space="0" w:color="000000"/>
              <w:bottom w:val="single" w:sz="2" w:space="0" w:color="000000"/>
            </w:tcBorders>
            <w:shd w:val="clear" w:color="auto" w:fill="auto"/>
            <w:tcMar>
              <w:left w:w="100" w:type="dxa"/>
              <w:right w:w="100" w:type="dxa"/>
            </w:tcMar>
          </w:tcPr>
          <w:p w14:paraId="22C4AB33" w14:textId="6949E51F" w:rsidR="00BF6C9F" w:rsidRPr="00240B49" w:rsidRDefault="00BF6C9F" w:rsidP="00271D3C">
            <w:pPr>
              <w:pStyle w:val="NormalWeb"/>
              <w:spacing w:before="40" w:beforeAutospacing="0" w:after="40" w:afterAutospacing="0" w:line="240" w:lineRule="auto"/>
              <w:contextualSpacing/>
              <w:jc w:val="center"/>
              <w:rPr>
                <w:rFonts w:cs="Calibri"/>
                <w:sz w:val="18"/>
                <w:szCs w:val="18"/>
                <w:lang w:val="en-US"/>
              </w:rPr>
            </w:pPr>
            <w:r>
              <w:rPr>
                <w:rFonts w:eastAsia="Calibri Light" w:cs="Calibri"/>
                <w:b/>
                <w:sz w:val="18"/>
                <w:szCs w:val="18"/>
                <w:lang w:val="en-US"/>
              </w:rPr>
              <w:t>Regression Coefficient</w:t>
            </w:r>
          </w:p>
        </w:tc>
        <w:tc>
          <w:tcPr>
            <w:tcW w:w="800" w:type="dxa"/>
            <w:tcBorders>
              <w:top w:val="single" w:sz="2" w:space="0" w:color="000000"/>
              <w:bottom w:val="single" w:sz="2" w:space="0" w:color="000000"/>
            </w:tcBorders>
            <w:shd w:val="clear" w:color="auto" w:fill="auto"/>
            <w:tcMar>
              <w:left w:w="100" w:type="dxa"/>
              <w:right w:w="100" w:type="dxa"/>
            </w:tcMar>
          </w:tcPr>
          <w:p w14:paraId="6DE89AE4" w14:textId="7AC30EBD" w:rsidR="00BF6C9F" w:rsidRPr="00240B49" w:rsidRDefault="00BF6C9F" w:rsidP="00271D3C">
            <w:pPr>
              <w:pStyle w:val="NormalWeb"/>
              <w:spacing w:before="40" w:beforeAutospacing="0" w:after="40" w:afterAutospacing="0" w:line="240" w:lineRule="auto"/>
              <w:contextualSpacing/>
              <w:jc w:val="center"/>
              <w:rPr>
                <w:rFonts w:cs="Calibri"/>
                <w:sz w:val="18"/>
                <w:szCs w:val="18"/>
                <w:lang w:val="en-US"/>
              </w:rPr>
            </w:pPr>
            <w:r>
              <w:rPr>
                <w:rFonts w:eastAsia="Calibri Light" w:cs="Calibri"/>
                <w:b/>
                <w:sz w:val="18"/>
                <w:szCs w:val="18"/>
                <w:lang w:val="en-US"/>
              </w:rPr>
              <w:t>T Value</w:t>
            </w:r>
          </w:p>
        </w:tc>
        <w:tc>
          <w:tcPr>
            <w:tcW w:w="901" w:type="dxa"/>
            <w:tcBorders>
              <w:top w:val="single" w:sz="2" w:space="0" w:color="000000"/>
              <w:bottom w:val="single" w:sz="2" w:space="0" w:color="000000"/>
            </w:tcBorders>
            <w:shd w:val="clear" w:color="auto" w:fill="auto"/>
            <w:tcMar>
              <w:left w:w="100" w:type="dxa"/>
              <w:right w:w="100" w:type="dxa"/>
            </w:tcMar>
          </w:tcPr>
          <w:p w14:paraId="0F8B1517" w14:textId="6B25E055" w:rsidR="00BF6C9F" w:rsidRPr="00240B49" w:rsidRDefault="00BF6C9F" w:rsidP="00271D3C">
            <w:pPr>
              <w:pStyle w:val="NormalWeb"/>
              <w:spacing w:before="40" w:beforeAutospacing="0" w:after="40" w:afterAutospacing="0" w:line="240" w:lineRule="auto"/>
              <w:contextualSpacing/>
              <w:jc w:val="center"/>
              <w:rPr>
                <w:rFonts w:cs="Calibri"/>
                <w:sz w:val="18"/>
                <w:szCs w:val="18"/>
                <w:lang w:val="en-US"/>
              </w:rPr>
            </w:pPr>
            <w:r>
              <w:rPr>
                <w:rFonts w:eastAsia="Calibri Light" w:cs="Calibri"/>
                <w:b/>
                <w:sz w:val="18"/>
                <w:szCs w:val="18"/>
                <w:lang w:val="en-US"/>
              </w:rPr>
              <w:t>p-Value</w:t>
            </w:r>
          </w:p>
        </w:tc>
        <w:tc>
          <w:tcPr>
            <w:tcW w:w="1843" w:type="dxa"/>
            <w:tcBorders>
              <w:top w:val="single" w:sz="2" w:space="0" w:color="000000"/>
              <w:bottom w:val="single" w:sz="2" w:space="0" w:color="000000"/>
            </w:tcBorders>
            <w:shd w:val="clear" w:color="auto" w:fill="auto"/>
            <w:tcMar>
              <w:left w:w="100" w:type="dxa"/>
              <w:right w:w="100" w:type="dxa"/>
            </w:tcMar>
          </w:tcPr>
          <w:p w14:paraId="65B4DB5C" w14:textId="2632096B" w:rsidR="00BF6C9F" w:rsidRPr="00240B49" w:rsidRDefault="00BF6C9F" w:rsidP="00271D3C">
            <w:pPr>
              <w:pStyle w:val="NormalWeb"/>
              <w:spacing w:before="40" w:beforeAutospacing="0" w:after="40" w:afterAutospacing="0" w:line="240" w:lineRule="auto"/>
              <w:contextualSpacing/>
              <w:jc w:val="center"/>
              <w:rPr>
                <w:rFonts w:cs="Calibri"/>
                <w:sz w:val="18"/>
                <w:szCs w:val="18"/>
                <w:lang w:val="en-US"/>
              </w:rPr>
            </w:pPr>
            <w:r>
              <w:rPr>
                <w:rFonts w:eastAsia="Calibri Light" w:cs="Calibri"/>
                <w:b/>
                <w:sz w:val="18"/>
                <w:szCs w:val="18"/>
                <w:lang w:val="en-US"/>
              </w:rPr>
              <w:t>Notes</w:t>
            </w:r>
          </w:p>
        </w:tc>
      </w:tr>
      <w:tr w:rsidR="00BF6C9F" w:rsidRPr="003348F5" w14:paraId="2D3A9450" w14:textId="77777777" w:rsidTr="00BF6C9F">
        <w:tc>
          <w:tcPr>
            <w:tcW w:w="467" w:type="dxa"/>
            <w:tcBorders>
              <w:top w:val="single" w:sz="2" w:space="0" w:color="000000"/>
            </w:tcBorders>
          </w:tcPr>
          <w:p w14:paraId="39D3004F" w14:textId="6F1A4169" w:rsidR="00BF6C9F" w:rsidRDefault="00BF6C9F" w:rsidP="00271D3C">
            <w:pPr>
              <w:pStyle w:val="NormalWeb"/>
              <w:spacing w:before="40" w:beforeAutospacing="0" w:after="40" w:afterAutospacing="0" w:line="240" w:lineRule="auto"/>
              <w:contextualSpacing/>
              <w:rPr>
                <w:rFonts w:eastAsia="Calibri Light" w:cs="Calibri"/>
                <w:sz w:val="18"/>
                <w:szCs w:val="18"/>
                <w:lang w:val="en-US"/>
              </w:rPr>
            </w:pPr>
            <w:r>
              <w:rPr>
                <w:rFonts w:eastAsia="Calibri Light" w:cs="Calibri"/>
                <w:sz w:val="18"/>
                <w:szCs w:val="18"/>
                <w:lang w:val="en-US"/>
              </w:rPr>
              <w:t>H1</w:t>
            </w:r>
          </w:p>
        </w:tc>
        <w:tc>
          <w:tcPr>
            <w:tcW w:w="1418" w:type="dxa"/>
            <w:tcBorders>
              <w:top w:val="single" w:sz="2" w:space="0" w:color="000000"/>
            </w:tcBorders>
            <w:shd w:val="clear" w:color="auto" w:fill="auto"/>
            <w:tcMar>
              <w:left w:w="100" w:type="dxa"/>
              <w:right w:w="100" w:type="dxa"/>
            </w:tcMar>
          </w:tcPr>
          <w:p w14:paraId="73485D51" w14:textId="3908A87D" w:rsidR="00BF6C9F" w:rsidRPr="008515C4" w:rsidRDefault="00BF6C9F" w:rsidP="00271D3C">
            <w:pPr>
              <w:pStyle w:val="NormalWeb"/>
              <w:spacing w:before="40" w:beforeAutospacing="0" w:after="40" w:afterAutospacing="0" w:line="240" w:lineRule="auto"/>
              <w:contextualSpacing/>
              <w:rPr>
                <w:rFonts w:cs="Calibri"/>
                <w:sz w:val="18"/>
                <w:szCs w:val="18"/>
                <w:lang w:val="en-US"/>
              </w:rPr>
            </w:pPr>
            <w:r>
              <w:rPr>
                <w:rFonts w:eastAsia="Calibri Light" w:cs="Calibri"/>
                <w:sz w:val="18"/>
                <w:szCs w:val="18"/>
                <w:lang w:val="en-US"/>
              </w:rPr>
              <w:t>IC → ROA</w:t>
            </w:r>
          </w:p>
        </w:tc>
        <w:tc>
          <w:tcPr>
            <w:tcW w:w="1134" w:type="dxa"/>
            <w:tcBorders>
              <w:top w:val="single" w:sz="2" w:space="0" w:color="000000"/>
            </w:tcBorders>
            <w:shd w:val="clear" w:color="auto" w:fill="auto"/>
            <w:tcMar>
              <w:left w:w="100" w:type="dxa"/>
              <w:right w:w="100" w:type="dxa"/>
            </w:tcMar>
          </w:tcPr>
          <w:p w14:paraId="3A30D8B3" w14:textId="4CFB55D8" w:rsidR="00BF6C9F" w:rsidRPr="008515C4" w:rsidRDefault="00BF6C9F"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0.49</w:t>
            </w:r>
          </w:p>
        </w:tc>
        <w:tc>
          <w:tcPr>
            <w:tcW w:w="800" w:type="dxa"/>
            <w:tcBorders>
              <w:top w:val="single" w:sz="2" w:space="0" w:color="000000"/>
            </w:tcBorders>
            <w:shd w:val="clear" w:color="auto" w:fill="auto"/>
            <w:tcMar>
              <w:left w:w="100" w:type="dxa"/>
              <w:right w:w="100" w:type="dxa"/>
            </w:tcMar>
          </w:tcPr>
          <w:p w14:paraId="7EF610A2" w14:textId="5A4297D2" w:rsidR="00BF6C9F" w:rsidRPr="008515C4" w:rsidRDefault="00BF6C9F"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4.83</w:t>
            </w:r>
          </w:p>
        </w:tc>
        <w:tc>
          <w:tcPr>
            <w:tcW w:w="901" w:type="dxa"/>
            <w:tcBorders>
              <w:top w:val="single" w:sz="2" w:space="0" w:color="000000"/>
            </w:tcBorders>
            <w:shd w:val="clear" w:color="auto" w:fill="auto"/>
            <w:tcMar>
              <w:left w:w="100" w:type="dxa"/>
              <w:right w:w="100" w:type="dxa"/>
            </w:tcMar>
          </w:tcPr>
          <w:p w14:paraId="40E90D3D" w14:textId="2EB37147" w:rsidR="00BF6C9F" w:rsidRPr="008515C4" w:rsidRDefault="00BF6C9F"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0.00***</w:t>
            </w:r>
          </w:p>
        </w:tc>
        <w:tc>
          <w:tcPr>
            <w:tcW w:w="1843" w:type="dxa"/>
            <w:tcBorders>
              <w:top w:val="single" w:sz="2" w:space="0" w:color="000000"/>
            </w:tcBorders>
            <w:shd w:val="clear" w:color="auto" w:fill="auto"/>
            <w:tcMar>
              <w:left w:w="100" w:type="dxa"/>
              <w:right w:w="100" w:type="dxa"/>
            </w:tcMar>
          </w:tcPr>
          <w:p w14:paraId="47ADB6B3" w14:textId="2A0E8D58" w:rsidR="00BF6C9F" w:rsidRPr="007078D9" w:rsidRDefault="00BF6C9F"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Significantly Positive</w:t>
            </w:r>
          </w:p>
        </w:tc>
      </w:tr>
      <w:tr w:rsidR="00BF6C9F" w:rsidRPr="003348F5" w14:paraId="37CDF195" w14:textId="77777777" w:rsidTr="00BF6C9F">
        <w:tc>
          <w:tcPr>
            <w:tcW w:w="467" w:type="dxa"/>
          </w:tcPr>
          <w:p w14:paraId="47639827" w14:textId="51384941" w:rsidR="00BF6C9F" w:rsidRDefault="00BF6C9F" w:rsidP="00271D3C">
            <w:pPr>
              <w:pStyle w:val="NormalWeb"/>
              <w:spacing w:before="40" w:beforeAutospacing="0" w:after="40" w:afterAutospacing="0" w:line="240" w:lineRule="auto"/>
              <w:contextualSpacing/>
              <w:rPr>
                <w:rFonts w:eastAsia="Calibri Light" w:cs="Calibri"/>
                <w:sz w:val="18"/>
                <w:szCs w:val="18"/>
                <w:lang w:val="en-US"/>
              </w:rPr>
            </w:pPr>
            <w:r>
              <w:rPr>
                <w:rFonts w:eastAsia="Calibri Light" w:cs="Calibri"/>
                <w:sz w:val="18"/>
                <w:szCs w:val="18"/>
                <w:lang w:val="en-US"/>
              </w:rPr>
              <w:t>H2</w:t>
            </w:r>
          </w:p>
        </w:tc>
        <w:tc>
          <w:tcPr>
            <w:tcW w:w="1418" w:type="dxa"/>
            <w:shd w:val="clear" w:color="auto" w:fill="auto"/>
            <w:tcMar>
              <w:left w:w="100" w:type="dxa"/>
              <w:right w:w="100" w:type="dxa"/>
            </w:tcMar>
          </w:tcPr>
          <w:p w14:paraId="3B588DDD" w14:textId="1D0E3F57" w:rsidR="00BF6C9F" w:rsidRDefault="00BF6C9F" w:rsidP="00271D3C">
            <w:pPr>
              <w:pStyle w:val="NormalWeb"/>
              <w:spacing w:before="40" w:beforeAutospacing="0" w:after="40" w:afterAutospacing="0" w:line="240" w:lineRule="auto"/>
              <w:contextualSpacing/>
              <w:rPr>
                <w:rFonts w:eastAsia="Calibri Light" w:cs="Calibri"/>
                <w:sz w:val="18"/>
                <w:szCs w:val="18"/>
                <w:lang w:val="en-US"/>
              </w:rPr>
            </w:pPr>
            <w:r>
              <w:rPr>
                <w:rFonts w:eastAsia="Calibri Light" w:cs="Calibri"/>
                <w:sz w:val="18"/>
                <w:szCs w:val="18"/>
                <w:lang w:val="en-US"/>
              </w:rPr>
              <w:t>IC → ROE</w:t>
            </w:r>
          </w:p>
        </w:tc>
        <w:tc>
          <w:tcPr>
            <w:tcW w:w="1134" w:type="dxa"/>
            <w:shd w:val="clear" w:color="auto" w:fill="auto"/>
            <w:tcMar>
              <w:left w:w="100" w:type="dxa"/>
              <w:right w:w="100" w:type="dxa"/>
            </w:tcMar>
          </w:tcPr>
          <w:p w14:paraId="4F473818" w14:textId="645F982A" w:rsidR="00BF6C9F" w:rsidRDefault="00BF6C9F"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0.38</w:t>
            </w:r>
          </w:p>
        </w:tc>
        <w:tc>
          <w:tcPr>
            <w:tcW w:w="800" w:type="dxa"/>
            <w:shd w:val="clear" w:color="auto" w:fill="auto"/>
            <w:tcMar>
              <w:left w:w="100" w:type="dxa"/>
              <w:right w:w="100" w:type="dxa"/>
            </w:tcMar>
          </w:tcPr>
          <w:p w14:paraId="7A3FBE44" w14:textId="4EC46AB1" w:rsidR="00BF6C9F" w:rsidRPr="008515C4" w:rsidRDefault="00BF6C9F"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3.56</w:t>
            </w:r>
          </w:p>
        </w:tc>
        <w:tc>
          <w:tcPr>
            <w:tcW w:w="901" w:type="dxa"/>
            <w:shd w:val="clear" w:color="auto" w:fill="auto"/>
            <w:tcMar>
              <w:left w:w="100" w:type="dxa"/>
              <w:right w:w="100" w:type="dxa"/>
            </w:tcMar>
          </w:tcPr>
          <w:p w14:paraId="7A7336D4" w14:textId="37EB78CF" w:rsidR="00BF6C9F" w:rsidRPr="008515C4" w:rsidRDefault="00BF6C9F"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0.00***</w:t>
            </w:r>
          </w:p>
        </w:tc>
        <w:tc>
          <w:tcPr>
            <w:tcW w:w="1843" w:type="dxa"/>
            <w:shd w:val="clear" w:color="auto" w:fill="auto"/>
            <w:tcMar>
              <w:left w:w="100" w:type="dxa"/>
              <w:right w:w="100" w:type="dxa"/>
            </w:tcMar>
          </w:tcPr>
          <w:p w14:paraId="310B543C" w14:textId="59DA83B3" w:rsidR="00BF6C9F" w:rsidRPr="007078D9" w:rsidRDefault="00BF6C9F"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Significantly Positive</w:t>
            </w:r>
          </w:p>
        </w:tc>
      </w:tr>
      <w:tr w:rsidR="00BF6C9F" w:rsidRPr="003348F5" w14:paraId="1DA444BE" w14:textId="77777777" w:rsidTr="00BF6C9F">
        <w:tc>
          <w:tcPr>
            <w:tcW w:w="467" w:type="dxa"/>
          </w:tcPr>
          <w:p w14:paraId="36997EC6" w14:textId="16B980FB" w:rsidR="00BF6C9F" w:rsidRDefault="00BF6C9F"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H3</w:t>
            </w:r>
          </w:p>
        </w:tc>
        <w:tc>
          <w:tcPr>
            <w:tcW w:w="1418" w:type="dxa"/>
            <w:shd w:val="clear" w:color="auto" w:fill="auto"/>
            <w:tcMar>
              <w:left w:w="100" w:type="dxa"/>
              <w:right w:w="100" w:type="dxa"/>
            </w:tcMar>
          </w:tcPr>
          <w:p w14:paraId="72B9AD07" w14:textId="764E1953" w:rsidR="00BF6C9F" w:rsidRPr="008515C4" w:rsidRDefault="00BF6C9F" w:rsidP="00271D3C">
            <w:pPr>
              <w:pStyle w:val="NormalWeb"/>
              <w:spacing w:before="40" w:beforeAutospacing="0" w:after="40" w:afterAutospacing="0" w:line="240" w:lineRule="auto"/>
              <w:contextualSpacing/>
              <w:rPr>
                <w:rFonts w:cs="Calibri"/>
                <w:sz w:val="18"/>
                <w:szCs w:val="18"/>
                <w:lang w:val="en-US"/>
              </w:rPr>
            </w:pPr>
            <w:r>
              <w:rPr>
                <w:rFonts w:eastAsia="Calibri Light" w:cs="Calibri"/>
                <w:sz w:val="18"/>
                <w:szCs w:val="18"/>
                <w:lang w:val="en-US"/>
              </w:rPr>
              <w:t>ZPR → ROA</w:t>
            </w:r>
          </w:p>
        </w:tc>
        <w:tc>
          <w:tcPr>
            <w:tcW w:w="1134" w:type="dxa"/>
            <w:shd w:val="clear" w:color="auto" w:fill="auto"/>
            <w:tcMar>
              <w:left w:w="100" w:type="dxa"/>
              <w:right w:w="100" w:type="dxa"/>
            </w:tcMar>
          </w:tcPr>
          <w:p w14:paraId="582FE5D2" w14:textId="5F176AE6" w:rsidR="00BF6C9F" w:rsidRPr="008515C4" w:rsidRDefault="00BF6C9F"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-0.04</w:t>
            </w:r>
          </w:p>
        </w:tc>
        <w:tc>
          <w:tcPr>
            <w:tcW w:w="800" w:type="dxa"/>
            <w:shd w:val="clear" w:color="auto" w:fill="auto"/>
            <w:tcMar>
              <w:left w:w="100" w:type="dxa"/>
              <w:right w:w="100" w:type="dxa"/>
            </w:tcMar>
          </w:tcPr>
          <w:p w14:paraId="409081EE" w14:textId="37A98D44" w:rsidR="00BF6C9F" w:rsidRPr="008515C4" w:rsidRDefault="00BF6C9F"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-0.41</w:t>
            </w:r>
          </w:p>
        </w:tc>
        <w:tc>
          <w:tcPr>
            <w:tcW w:w="901" w:type="dxa"/>
            <w:shd w:val="clear" w:color="auto" w:fill="auto"/>
            <w:tcMar>
              <w:left w:w="100" w:type="dxa"/>
              <w:right w:w="100" w:type="dxa"/>
            </w:tcMar>
          </w:tcPr>
          <w:p w14:paraId="02D55CBC" w14:textId="3F88F068" w:rsidR="00BF6C9F" w:rsidRPr="008515C4" w:rsidRDefault="00BF6C9F"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0.69</w:t>
            </w:r>
          </w:p>
        </w:tc>
        <w:tc>
          <w:tcPr>
            <w:tcW w:w="1843" w:type="dxa"/>
            <w:shd w:val="clear" w:color="auto" w:fill="auto"/>
            <w:tcMar>
              <w:left w:w="100" w:type="dxa"/>
              <w:right w:w="100" w:type="dxa"/>
            </w:tcMar>
          </w:tcPr>
          <w:p w14:paraId="4E534088" w14:textId="21F1C75A" w:rsidR="00BF6C9F" w:rsidRPr="007078D9" w:rsidRDefault="00BF6C9F"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Not Significant</w:t>
            </w:r>
          </w:p>
        </w:tc>
      </w:tr>
      <w:tr w:rsidR="00BF6C9F" w:rsidRPr="003348F5" w14:paraId="04F6004A" w14:textId="77777777" w:rsidTr="00BF6C9F">
        <w:tc>
          <w:tcPr>
            <w:tcW w:w="467" w:type="dxa"/>
          </w:tcPr>
          <w:p w14:paraId="7C3AD25B" w14:textId="3F3377E9" w:rsidR="00BF6C9F" w:rsidRDefault="00BF6C9F"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H4</w:t>
            </w:r>
          </w:p>
        </w:tc>
        <w:tc>
          <w:tcPr>
            <w:tcW w:w="1418" w:type="dxa"/>
            <w:shd w:val="clear" w:color="auto" w:fill="auto"/>
            <w:tcMar>
              <w:left w:w="100" w:type="dxa"/>
              <w:right w:w="100" w:type="dxa"/>
            </w:tcMar>
          </w:tcPr>
          <w:p w14:paraId="41EDE080" w14:textId="143E46D4" w:rsidR="00BF6C9F" w:rsidRDefault="00BF6C9F" w:rsidP="00271D3C">
            <w:pPr>
              <w:pStyle w:val="NormalWeb"/>
              <w:spacing w:before="40" w:beforeAutospacing="0" w:after="40" w:afterAutospacing="0" w:line="240" w:lineRule="auto"/>
              <w:contextualSpacing/>
              <w:rPr>
                <w:rFonts w:cs="Calibri"/>
                <w:sz w:val="18"/>
                <w:szCs w:val="18"/>
                <w:lang w:val="en-US"/>
              </w:rPr>
            </w:pPr>
            <w:r>
              <w:rPr>
                <w:rFonts w:eastAsia="Calibri Light" w:cs="Calibri"/>
                <w:sz w:val="18"/>
                <w:szCs w:val="18"/>
                <w:lang w:val="en-US"/>
              </w:rPr>
              <w:t>ZPR → ROE</w:t>
            </w:r>
          </w:p>
        </w:tc>
        <w:tc>
          <w:tcPr>
            <w:tcW w:w="1134" w:type="dxa"/>
            <w:shd w:val="clear" w:color="auto" w:fill="auto"/>
            <w:tcMar>
              <w:left w:w="100" w:type="dxa"/>
              <w:right w:w="100" w:type="dxa"/>
            </w:tcMar>
          </w:tcPr>
          <w:p w14:paraId="5DCA602C" w14:textId="48B9A3C9" w:rsidR="00BF6C9F" w:rsidRDefault="00BF6C9F" w:rsidP="00271D3C">
            <w:pPr>
              <w:pStyle w:val="NormalWeb"/>
              <w:spacing w:before="40" w:beforeAutospacing="0" w:after="40" w:afterAutospacing="0" w:line="240" w:lineRule="auto"/>
              <w:contextualSpacing/>
              <w:jc w:val="center"/>
              <w:rPr>
                <w:rFonts w:cs="Calibri"/>
                <w:sz w:val="18"/>
                <w:szCs w:val="18"/>
                <w:lang w:val="en-US"/>
              </w:rPr>
            </w:pPr>
            <w:r>
              <w:rPr>
                <w:rFonts w:eastAsia="Calibri Light" w:cs="Calibri"/>
                <w:sz w:val="18"/>
                <w:szCs w:val="18"/>
                <w:lang w:val="en-US"/>
              </w:rPr>
              <w:t>-0.12</w:t>
            </w:r>
          </w:p>
        </w:tc>
        <w:tc>
          <w:tcPr>
            <w:tcW w:w="800" w:type="dxa"/>
            <w:shd w:val="clear" w:color="auto" w:fill="auto"/>
            <w:tcMar>
              <w:left w:w="100" w:type="dxa"/>
              <w:right w:w="100" w:type="dxa"/>
            </w:tcMar>
          </w:tcPr>
          <w:p w14:paraId="37D85160" w14:textId="59ACA33A" w:rsidR="00BF6C9F" w:rsidRPr="008515C4" w:rsidRDefault="00BF6C9F" w:rsidP="00271D3C">
            <w:pPr>
              <w:pStyle w:val="NormalWeb"/>
              <w:spacing w:before="40" w:beforeAutospacing="0" w:after="40" w:afterAutospacing="0" w:line="240" w:lineRule="auto"/>
              <w:contextualSpacing/>
              <w:jc w:val="center"/>
              <w:rPr>
                <w:rFonts w:cs="Calibri"/>
                <w:sz w:val="18"/>
                <w:szCs w:val="18"/>
                <w:lang w:val="en-US"/>
              </w:rPr>
            </w:pPr>
            <w:r>
              <w:rPr>
                <w:rFonts w:eastAsia="Calibri Light" w:cs="Calibri"/>
                <w:sz w:val="18"/>
                <w:szCs w:val="18"/>
                <w:lang w:val="en-US"/>
              </w:rPr>
              <w:t>-1.07</w:t>
            </w:r>
          </w:p>
        </w:tc>
        <w:tc>
          <w:tcPr>
            <w:tcW w:w="901" w:type="dxa"/>
            <w:shd w:val="clear" w:color="auto" w:fill="auto"/>
            <w:tcMar>
              <w:left w:w="100" w:type="dxa"/>
              <w:right w:w="100" w:type="dxa"/>
            </w:tcMar>
          </w:tcPr>
          <w:p w14:paraId="00B69E1B" w14:textId="29EADC58" w:rsidR="00BF6C9F" w:rsidRPr="008515C4" w:rsidRDefault="00BF6C9F"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0.29</w:t>
            </w:r>
          </w:p>
        </w:tc>
        <w:tc>
          <w:tcPr>
            <w:tcW w:w="1843" w:type="dxa"/>
            <w:shd w:val="clear" w:color="auto" w:fill="auto"/>
            <w:tcMar>
              <w:left w:w="100" w:type="dxa"/>
              <w:right w:w="100" w:type="dxa"/>
            </w:tcMar>
          </w:tcPr>
          <w:p w14:paraId="78DC1732" w14:textId="160049F1" w:rsidR="00BF6C9F" w:rsidRPr="007078D9" w:rsidRDefault="00BF6C9F"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Not Significant</w:t>
            </w:r>
          </w:p>
        </w:tc>
      </w:tr>
      <w:tr w:rsidR="00BF6C9F" w:rsidRPr="003348F5" w14:paraId="1593E5AD" w14:textId="77777777" w:rsidTr="00BF6C9F">
        <w:tc>
          <w:tcPr>
            <w:tcW w:w="467" w:type="dxa"/>
          </w:tcPr>
          <w:p w14:paraId="0BD6049C" w14:textId="7BDA7270" w:rsidR="00BF6C9F" w:rsidRDefault="00BF6C9F" w:rsidP="00271D3C">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H5</w:t>
            </w:r>
          </w:p>
        </w:tc>
        <w:tc>
          <w:tcPr>
            <w:tcW w:w="1418" w:type="dxa"/>
            <w:shd w:val="clear" w:color="auto" w:fill="auto"/>
            <w:tcMar>
              <w:left w:w="100" w:type="dxa"/>
              <w:right w:w="100" w:type="dxa"/>
            </w:tcMar>
          </w:tcPr>
          <w:p w14:paraId="6C75C3FD" w14:textId="53AC14CA" w:rsidR="00BF6C9F" w:rsidRPr="008515C4" w:rsidRDefault="00BF6C9F" w:rsidP="00BF6C9F">
            <w:pPr>
              <w:pStyle w:val="NormalWeb"/>
              <w:spacing w:before="40" w:beforeAutospacing="0" w:after="40" w:afterAutospacing="0" w:line="240" w:lineRule="auto"/>
              <w:ind w:left="2160" w:hanging="2160"/>
              <w:contextualSpacing/>
              <w:rPr>
                <w:rFonts w:cs="Calibri"/>
                <w:sz w:val="18"/>
                <w:szCs w:val="18"/>
                <w:lang w:val="en-US"/>
              </w:rPr>
            </w:pPr>
            <w:r>
              <w:rPr>
                <w:rFonts w:cs="Calibri"/>
                <w:sz w:val="18"/>
                <w:szCs w:val="18"/>
                <w:lang w:val="en-US"/>
              </w:rPr>
              <w:t>TPF*IC → ROA</w:t>
            </w:r>
          </w:p>
        </w:tc>
        <w:tc>
          <w:tcPr>
            <w:tcW w:w="1134" w:type="dxa"/>
            <w:shd w:val="clear" w:color="auto" w:fill="auto"/>
            <w:tcMar>
              <w:left w:w="100" w:type="dxa"/>
              <w:right w:w="100" w:type="dxa"/>
            </w:tcMar>
          </w:tcPr>
          <w:p w14:paraId="7CECA815" w14:textId="77DB2E9A" w:rsidR="00BF6C9F" w:rsidRPr="008515C4" w:rsidRDefault="00BF6C9F"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0.88</w:t>
            </w:r>
          </w:p>
        </w:tc>
        <w:tc>
          <w:tcPr>
            <w:tcW w:w="800" w:type="dxa"/>
            <w:shd w:val="clear" w:color="auto" w:fill="auto"/>
            <w:tcMar>
              <w:left w:w="100" w:type="dxa"/>
              <w:right w:w="100" w:type="dxa"/>
            </w:tcMar>
          </w:tcPr>
          <w:p w14:paraId="1DF9327B" w14:textId="1F69FA41" w:rsidR="00BF6C9F" w:rsidRPr="008515C4" w:rsidRDefault="00BF6C9F"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0.75</w:t>
            </w:r>
          </w:p>
        </w:tc>
        <w:tc>
          <w:tcPr>
            <w:tcW w:w="901" w:type="dxa"/>
            <w:shd w:val="clear" w:color="auto" w:fill="auto"/>
            <w:tcMar>
              <w:left w:w="100" w:type="dxa"/>
              <w:right w:w="100" w:type="dxa"/>
            </w:tcMar>
          </w:tcPr>
          <w:p w14:paraId="7C124E1B" w14:textId="63859BF1" w:rsidR="00BF6C9F" w:rsidRPr="008515C4" w:rsidRDefault="00BF6C9F"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0.46</w:t>
            </w:r>
          </w:p>
        </w:tc>
        <w:tc>
          <w:tcPr>
            <w:tcW w:w="1843" w:type="dxa"/>
            <w:shd w:val="clear" w:color="auto" w:fill="auto"/>
            <w:tcMar>
              <w:left w:w="100" w:type="dxa"/>
              <w:right w:w="100" w:type="dxa"/>
            </w:tcMar>
          </w:tcPr>
          <w:p w14:paraId="654B4F34" w14:textId="30009062" w:rsidR="00BF6C9F" w:rsidRPr="007078D9" w:rsidRDefault="00BF6C9F" w:rsidP="00271D3C">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N</w:t>
            </w:r>
            <w:r w:rsidRPr="00BF6C9F">
              <w:rPr>
                <w:rFonts w:cs="Calibri"/>
                <w:sz w:val="18"/>
                <w:szCs w:val="18"/>
                <w:lang w:val="en-US"/>
              </w:rPr>
              <w:t xml:space="preserve">ot </w:t>
            </w:r>
            <w:r>
              <w:rPr>
                <w:rFonts w:cs="Calibri"/>
                <w:sz w:val="18"/>
                <w:szCs w:val="18"/>
                <w:lang w:val="en-US"/>
              </w:rPr>
              <w:t>M</w:t>
            </w:r>
            <w:r w:rsidRPr="00BF6C9F">
              <w:rPr>
                <w:rFonts w:cs="Calibri"/>
                <w:sz w:val="18"/>
                <w:szCs w:val="18"/>
                <w:lang w:val="en-US"/>
              </w:rPr>
              <w:t>oderating</w:t>
            </w:r>
          </w:p>
        </w:tc>
      </w:tr>
      <w:tr w:rsidR="00BF6C9F" w:rsidRPr="003348F5" w14:paraId="21015CAF" w14:textId="77777777" w:rsidTr="00BF6C9F">
        <w:tc>
          <w:tcPr>
            <w:tcW w:w="467" w:type="dxa"/>
          </w:tcPr>
          <w:p w14:paraId="1A7EE757" w14:textId="715E7D98" w:rsidR="00BF6C9F" w:rsidRDefault="00BF6C9F" w:rsidP="00BF6C9F">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H6</w:t>
            </w:r>
          </w:p>
        </w:tc>
        <w:tc>
          <w:tcPr>
            <w:tcW w:w="1418" w:type="dxa"/>
            <w:shd w:val="clear" w:color="auto" w:fill="auto"/>
            <w:tcMar>
              <w:left w:w="100" w:type="dxa"/>
              <w:right w:w="100" w:type="dxa"/>
            </w:tcMar>
          </w:tcPr>
          <w:p w14:paraId="65DEDAC3" w14:textId="179AB4A5" w:rsidR="00BF6C9F" w:rsidRDefault="00BF6C9F" w:rsidP="00BF6C9F">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TPF*IC → ROE</w:t>
            </w:r>
          </w:p>
        </w:tc>
        <w:tc>
          <w:tcPr>
            <w:tcW w:w="1134" w:type="dxa"/>
            <w:shd w:val="clear" w:color="auto" w:fill="auto"/>
            <w:tcMar>
              <w:left w:w="100" w:type="dxa"/>
              <w:right w:w="100" w:type="dxa"/>
            </w:tcMar>
          </w:tcPr>
          <w:p w14:paraId="317B5E88" w14:textId="22147E27" w:rsidR="00BF6C9F" w:rsidRPr="008515C4" w:rsidRDefault="00BF6C9F" w:rsidP="00BF6C9F">
            <w:pPr>
              <w:pStyle w:val="NormalWeb"/>
              <w:spacing w:before="40" w:beforeAutospacing="0" w:after="40" w:afterAutospacing="0" w:line="240" w:lineRule="auto"/>
              <w:contextualSpacing/>
              <w:jc w:val="center"/>
              <w:rPr>
                <w:rFonts w:cs="Calibri"/>
                <w:sz w:val="18"/>
                <w:szCs w:val="18"/>
                <w:lang w:val="en-US"/>
              </w:rPr>
            </w:pPr>
            <w:r>
              <w:rPr>
                <w:rFonts w:eastAsia="Calibri Light" w:cs="Calibri"/>
                <w:sz w:val="18"/>
                <w:szCs w:val="18"/>
                <w:lang w:val="en-US"/>
              </w:rPr>
              <w:t>0.29</w:t>
            </w:r>
          </w:p>
        </w:tc>
        <w:tc>
          <w:tcPr>
            <w:tcW w:w="800" w:type="dxa"/>
            <w:shd w:val="clear" w:color="auto" w:fill="auto"/>
            <w:tcMar>
              <w:left w:w="100" w:type="dxa"/>
              <w:right w:w="100" w:type="dxa"/>
            </w:tcMar>
          </w:tcPr>
          <w:p w14:paraId="64E64C43" w14:textId="2C4A7167" w:rsidR="00BF6C9F" w:rsidRPr="008515C4" w:rsidRDefault="00BF6C9F" w:rsidP="00BF6C9F">
            <w:pPr>
              <w:pStyle w:val="NormalWeb"/>
              <w:spacing w:before="40" w:beforeAutospacing="0" w:after="40" w:afterAutospacing="0" w:line="240" w:lineRule="auto"/>
              <w:contextualSpacing/>
              <w:jc w:val="center"/>
              <w:rPr>
                <w:rFonts w:cs="Calibri"/>
                <w:sz w:val="18"/>
                <w:szCs w:val="18"/>
                <w:lang w:val="en-US"/>
              </w:rPr>
            </w:pPr>
            <w:r>
              <w:rPr>
                <w:rFonts w:eastAsia="Calibri Light" w:cs="Calibri"/>
                <w:sz w:val="18"/>
                <w:szCs w:val="18"/>
                <w:lang w:val="en-US"/>
              </w:rPr>
              <w:t>0.22</w:t>
            </w:r>
          </w:p>
        </w:tc>
        <w:tc>
          <w:tcPr>
            <w:tcW w:w="901" w:type="dxa"/>
            <w:shd w:val="clear" w:color="auto" w:fill="auto"/>
            <w:tcMar>
              <w:left w:w="100" w:type="dxa"/>
              <w:right w:w="100" w:type="dxa"/>
            </w:tcMar>
          </w:tcPr>
          <w:p w14:paraId="7208A3C4" w14:textId="226DDF6E" w:rsidR="00BF6C9F" w:rsidRPr="008515C4" w:rsidRDefault="00BF6C9F" w:rsidP="00BF6C9F">
            <w:pPr>
              <w:pStyle w:val="NormalWeb"/>
              <w:spacing w:before="40" w:beforeAutospacing="0" w:after="40" w:afterAutospacing="0" w:line="240" w:lineRule="auto"/>
              <w:contextualSpacing/>
              <w:jc w:val="center"/>
              <w:rPr>
                <w:rFonts w:cs="Calibri"/>
                <w:sz w:val="18"/>
                <w:szCs w:val="18"/>
                <w:lang w:val="en-US"/>
              </w:rPr>
            </w:pPr>
            <w:r>
              <w:rPr>
                <w:rFonts w:cs="Calibri"/>
                <w:sz w:val="18"/>
                <w:szCs w:val="18"/>
                <w:lang w:val="en-US"/>
              </w:rPr>
              <w:t>0.83</w:t>
            </w:r>
          </w:p>
        </w:tc>
        <w:tc>
          <w:tcPr>
            <w:tcW w:w="1843" w:type="dxa"/>
            <w:shd w:val="clear" w:color="auto" w:fill="auto"/>
            <w:tcMar>
              <w:left w:w="100" w:type="dxa"/>
              <w:right w:w="100" w:type="dxa"/>
            </w:tcMar>
          </w:tcPr>
          <w:p w14:paraId="507F98F4" w14:textId="68CECA87" w:rsidR="00BF6C9F" w:rsidRPr="007078D9" w:rsidRDefault="00BF6C9F" w:rsidP="00BF6C9F">
            <w:pPr>
              <w:pStyle w:val="NormalWeb"/>
              <w:spacing w:before="40" w:beforeAutospacing="0" w:after="40" w:afterAutospacing="0" w:line="240" w:lineRule="auto"/>
              <w:contextualSpacing/>
              <w:jc w:val="center"/>
              <w:rPr>
                <w:rFonts w:cs="Calibri"/>
                <w:sz w:val="18"/>
                <w:szCs w:val="18"/>
                <w:lang w:val="en-US"/>
              </w:rPr>
            </w:pPr>
            <w:r w:rsidRPr="00376411">
              <w:rPr>
                <w:rFonts w:cs="Calibri"/>
                <w:sz w:val="18"/>
                <w:szCs w:val="18"/>
                <w:lang w:val="en-US"/>
              </w:rPr>
              <w:t>Not Moderating</w:t>
            </w:r>
          </w:p>
        </w:tc>
      </w:tr>
      <w:tr w:rsidR="00BF6C9F" w:rsidRPr="003348F5" w14:paraId="05BE936C" w14:textId="77777777" w:rsidTr="00BF6C9F">
        <w:tc>
          <w:tcPr>
            <w:tcW w:w="467" w:type="dxa"/>
          </w:tcPr>
          <w:p w14:paraId="1FD09AD5" w14:textId="4B0BFFDA" w:rsidR="00BF6C9F" w:rsidRDefault="00BF6C9F" w:rsidP="00BF6C9F">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H7</w:t>
            </w:r>
          </w:p>
        </w:tc>
        <w:tc>
          <w:tcPr>
            <w:tcW w:w="1418" w:type="dxa"/>
            <w:shd w:val="clear" w:color="auto" w:fill="auto"/>
            <w:tcMar>
              <w:left w:w="100" w:type="dxa"/>
              <w:right w:w="100" w:type="dxa"/>
            </w:tcMar>
          </w:tcPr>
          <w:p w14:paraId="4C4D7C6A" w14:textId="6E1E64B0" w:rsidR="00BF6C9F" w:rsidRDefault="00BF6C9F" w:rsidP="00BF6C9F">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TPF*ZPR → ROA</w:t>
            </w:r>
          </w:p>
        </w:tc>
        <w:tc>
          <w:tcPr>
            <w:tcW w:w="1134" w:type="dxa"/>
            <w:shd w:val="clear" w:color="auto" w:fill="auto"/>
            <w:tcMar>
              <w:left w:w="100" w:type="dxa"/>
              <w:right w:w="100" w:type="dxa"/>
            </w:tcMar>
          </w:tcPr>
          <w:p w14:paraId="53AADC5A" w14:textId="011C307C" w:rsidR="00BF6C9F" w:rsidRPr="008515C4" w:rsidRDefault="00BF6C9F" w:rsidP="00BF6C9F">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0.50</w:t>
            </w:r>
          </w:p>
        </w:tc>
        <w:tc>
          <w:tcPr>
            <w:tcW w:w="800" w:type="dxa"/>
            <w:shd w:val="clear" w:color="auto" w:fill="auto"/>
            <w:tcMar>
              <w:left w:w="100" w:type="dxa"/>
              <w:right w:w="100" w:type="dxa"/>
            </w:tcMar>
          </w:tcPr>
          <w:p w14:paraId="5CD44D79" w14:textId="69DA9184" w:rsidR="00BF6C9F" w:rsidRPr="008515C4" w:rsidRDefault="00BF6C9F" w:rsidP="00BF6C9F">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1.59</w:t>
            </w:r>
          </w:p>
        </w:tc>
        <w:tc>
          <w:tcPr>
            <w:tcW w:w="901" w:type="dxa"/>
            <w:shd w:val="clear" w:color="auto" w:fill="auto"/>
            <w:tcMar>
              <w:left w:w="100" w:type="dxa"/>
              <w:right w:w="100" w:type="dxa"/>
            </w:tcMar>
          </w:tcPr>
          <w:p w14:paraId="57AD008F" w14:textId="14A1FA07" w:rsidR="00BF6C9F" w:rsidRPr="008515C4" w:rsidRDefault="00BF6C9F" w:rsidP="00BF6C9F">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0.12</w:t>
            </w:r>
          </w:p>
        </w:tc>
        <w:tc>
          <w:tcPr>
            <w:tcW w:w="1843" w:type="dxa"/>
            <w:shd w:val="clear" w:color="auto" w:fill="auto"/>
            <w:tcMar>
              <w:left w:w="100" w:type="dxa"/>
              <w:right w:w="100" w:type="dxa"/>
            </w:tcMar>
          </w:tcPr>
          <w:p w14:paraId="22FB537B" w14:textId="0E0DA6B8" w:rsidR="00BF6C9F" w:rsidRPr="007078D9" w:rsidRDefault="00BF6C9F" w:rsidP="00BF6C9F">
            <w:pPr>
              <w:pStyle w:val="NormalWeb"/>
              <w:spacing w:before="40" w:beforeAutospacing="0" w:after="40" w:afterAutospacing="0" w:line="240" w:lineRule="auto"/>
              <w:contextualSpacing/>
              <w:jc w:val="center"/>
              <w:rPr>
                <w:rFonts w:eastAsia="Calibri Light" w:cs="Calibri"/>
                <w:sz w:val="18"/>
                <w:szCs w:val="18"/>
                <w:lang w:val="en-US"/>
              </w:rPr>
            </w:pPr>
            <w:r w:rsidRPr="00376411">
              <w:rPr>
                <w:rFonts w:cs="Calibri"/>
                <w:sz w:val="18"/>
                <w:szCs w:val="18"/>
                <w:lang w:val="en-US"/>
              </w:rPr>
              <w:t>Not Moderating</w:t>
            </w:r>
          </w:p>
        </w:tc>
      </w:tr>
      <w:tr w:rsidR="00BF6C9F" w:rsidRPr="003348F5" w14:paraId="19BC97A0" w14:textId="77777777" w:rsidTr="00420F29">
        <w:tc>
          <w:tcPr>
            <w:tcW w:w="467" w:type="dxa"/>
            <w:tcBorders>
              <w:bottom w:val="single" w:sz="4" w:space="0" w:color="auto"/>
            </w:tcBorders>
          </w:tcPr>
          <w:p w14:paraId="00514532" w14:textId="44E9D41B" w:rsidR="00BF6C9F" w:rsidRDefault="00BF6C9F" w:rsidP="00BF6C9F">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H8</w:t>
            </w:r>
          </w:p>
        </w:tc>
        <w:tc>
          <w:tcPr>
            <w:tcW w:w="1418" w:type="dxa"/>
            <w:tcBorders>
              <w:bottom w:val="single" w:sz="4" w:space="0" w:color="auto"/>
            </w:tcBorders>
            <w:shd w:val="clear" w:color="auto" w:fill="auto"/>
            <w:tcMar>
              <w:left w:w="100" w:type="dxa"/>
              <w:right w:w="100" w:type="dxa"/>
            </w:tcMar>
          </w:tcPr>
          <w:p w14:paraId="7B2A522C" w14:textId="06614D40" w:rsidR="00BF6C9F" w:rsidRDefault="00BF6C9F" w:rsidP="00BF6C9F">
            <w:pPr>
              <w:pStyle w:val="NormalWeb"/>
              <w:spacing w:before="40" w:beforeAutospacing="0" w:after="40" w:afterAutospacing="0" w:line="240" w:lineRule="auto"/>
              <w:contextualSpacing/>
              <w:rPr>
                <w:rFonts w:cs="Calibri"/>
                <w:sz w:val="18"/>
                <w:szCs w:val="18"/>
                <w:lang w:val="en-US"/>
              </w:rPr>
            </w:pPr>
            <w:r>
              <w:rPr>
                <w:rFonts w:cs="Calibri"/>
                <w:sz w:val="18"/>
                <w:szCs w:val="18"/>
                <w:lang w:val="en-US"/>
              </w:rPr>
              <w:t>TPF*ZPR → ROE</w:t>
            </w:r>
          </w:p>
        </w:tc>
        <w:tc>
          <w:tcPr>
            <w:tcW w:w="1134" w:type="dxa"/>
            <w:tcBorders>
              <w:bottom w:val="single" w:sz="4" w:space="0" w:color="auto"/>
            </w:tcBorders>
            <w:shd w:val="clear" w:color="auto" w:fill="auto"/>
            <w:tcMar>
              <w:left w:w="100" w:type="dxa"/>
              <w:right w:w="100" w:type="dxa"/>
            </w:tcMar>
          </w:tcPr>
          <w:p w14:paraId="219F6E2D" w14:textId="0F26FB99" w:rsidR="00BF6C9F" w:rsidRPr="008515C4" w:rsidRDefault="00BF6C9F" w:rsidP="00BF6C9F">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0.03</w:t>
            </w:r>
          </w:p>
        </w:tc>
        <w:tc>
          <w:tcPr>
            <w:tcW w:w="800" w:type="dxa"/>
            <w:tcBorders>
              <w:bottom w:val="single" w:sz="4" w:space="0" w:color="auto"/>
            </w:tcBorders>
            <w:shd w:val="clear" w:color="auto" w:fill="auto"/>
            <w:tcMar>
              <w:left w:w="100" w:type="dxa"/>
              <w:right w:w="100" w:type="dxa"/>
            </w:tcMar>
          </w:tcPr>
          <w:p w14:paraId="7C52887D" w14:textId="31EE9DD0" w:rsidR="00BF6C9F" w:rsidRPr="008515C4" w:rsidRDefault="00BF6C9F" w:rsidP="00BF6C9F">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0.98</w:t>
            </w:r>
          </w:p>
        </w:tc>
        <w:tc>
          <w:tcPr>
            <w:tcW w:w="901" w:type="dxa"/>
            <w:tcBorders>
              <w:bottom w:val="single" w:sz="4" w:space="0" w:color="auto"/>
            </w:tcBorders>
            <w:shd w:val="clear" w:color="auto" w:fill="auto"/>
            <w:tcMar>
              <w:left w:w="100" w:type="dxa"/>
              <w:right w:w="100" w:type="dxa"/>
            </w:tcMar>
          </w:tcPr>
          <w:p w14:paraId="054B22F1" w14:textId="6A902AD8" w:rsidR="00BF6C9F" w:rsidRPr="008515C4" w:rsidRDefault="00BF6C9F" w:rsidP="00BF6C9F">
            <w:pPr>
              <w:pStyle w:val="NormalWeb"/>
              <w:spacing w:before="40" w:beforeAutospacing="0" w:after="40" w:afterAutospacing="0" w:line="240" w:lineRule="auto"/>
              <w:contextualSpacing/>
              <w:jc w:val="center"/>
              <w:rPr>
                <w:rFonts w:eastAsia="Calibri Light" w:cs="Calibri"/>
                <w:sz w:val="18"/>
                <w:szCs w:val="18"/>
                <w:lang w:val="en-US"/>
              </w:rPr>
            </w:pPr>
            <w:r>
              <w:rPr>
                <w:rFonts w:eastAsia="Calibri Light" w:cs="Calibri"/>
                <w:sz w:val="18"/>
                <w:szCs w:val="18"/>
                <w:lang w:val="en-US"/>
              </w:rPr>
              <w:t>0.98</w:t>
            </w:r>
          </w:p>
        </w:tc>
        <w:tc>
          <w:tcPr>
            <w:tcW w:w="1843" w:type="dxa"/>
            <w:tcBorders>
              <w:bottom w:val="single" w:sz="4" w:space="0" w:color="auto"/>
            </w:tcBorders>
            <w:shd w:val="clear" w:color="auto" w:fill="auto"/>
            <w:tcMar>
              <w:left w:w="100" w:type="dxa"/>
              <w:right w:w="100" w:type="dxa"/>
            </w:tcMar>
          </w:tcPr>
          <w:p w14:paraId="2E883106" w14:textId="3CC1A94D" w:rsidR="00BF6C9F" w:rsidRPr="007078D9" w:rsidRDefault="00BF6C9F" w:rsidP="00BF6C9F">
            <w:pPr>
              <w:pStyle w:val="NormalWeb"/>
              <w:spacing w:before="40" w:beforeAutospacing="0" w:after="40" w:afterAutospacing="0" w:line="240" w:lineRule="auto"/>
              <w:contextualSpacing/>
              <w:jc w:val="center"/>
              <w:rPr>
                <w:rFonts w:eastAsia="Calibri Light" w:cs="Calibri"/>
                <w:sz w:val="18"/>
                <w:szCs w:val="18"/>
                <w:lang w:val="en-US"/>
              </w:rPr>
            </w:pPr>
            <w:r w:rsidRPr="00376411">
              <w:rPr>
                <w:rFonts w:cs="Calibri"/>
                <w:sz w:val="18"/>
                <w:szCs w:val="18"/>
                <w:lang w:val="en-US"/>
              </w:rPr>
              <w:t>Not Moderating</w:t>
            </w:r>
          </w:p>
        </w:tc>
      </w:tr>
      <w:tr w:rsidR="00BF6C9F" w:rsidRPr="003348F5" w14:paraId="29030B03" w14:textId="77777777" w:rsidTr="00420F29">
        <w:tc>
          <w:tcPr>
            <w:tcW w:w="6563" w:type="dxa"/>
            <w:gridSpan w:val="6"/>
            <w:tcBorders>
              <w:top w:val="single" w:sz="4" w:space="0" w:color="auto"/>
              <w:bottom w:val="single" w:sz="4" w:space="0" w:color="auto"/>
            </w:tcBorders>
          </w:tcPr>
          <w:p w14:paraId="0F040A12" w14:textId="3E96FA96" w:rsidR="00BF6C9F" w:rsidRPr="00376411" w:rsidRDefault="00BF6C9F" w:rsidP="00BF6C9F">
            <w:pPr>
              <w:pStyle w:val="NormalWeb"/>
              <w:spacing w:before="40" w:beforeAutospacing="0" w:after="40" w:afterAutospacing="0" w:line="240" w:lineRule="auto"/>
              <w:contextualSpacing/>
              <w:jc w:val="both"/>
              <w:rPr>
                <w:rFonts w:cs="Calibri"/>
                <w:sz w:val="18"/>
                <w:szCs w:val="18"/>
                <w:lang w:val="en-US"/>
              </w:rPr>
            </w:pPr>
            <w:r w:rsidRPr="002F7440">
              <w:rPr>
                <w:rFonts w:eastAsia="Calibri Light" w:cs="Calibri"/>
                <w:b/>
                <w:bCs/>
                <w:sz w:val="18"/>
                <w:szCs w:val="18"/>
                <w:lang w:val="en-US"/>
              </w:rPr>
              <w:t>Notes:</w:t>
            </w:r>
            <w:r>
              <w:rPr>
                <w:rFonts w:eastAsia="Calibri Light" w:cs="Calibri"/>
                <w:sz w:val="18"/>
                <w:szCs w:val="18"/>
                <w:lang w:val="en-US"/>
              </w:rPr>
              <w:t xml:space="preserve"> </w:t>
            </w:r>
            <w:proofErr w:type="spellStart"/>
            <w:r>
              <w:rPr>
                <w:rFonts w:eastAsia="Calibri Light" w:cs="Calibri"/>
                <w:sz w:val="18"/>
                <w:szCs w:val="18"/>
                <w:lang w:val="en-US"/>
              </w:rPr>
              <w:t>Tabel</w:t>
            </w:r>
            <w:proofErr w:type="spellEnd"/>
            <w:r>
              <w:rPr>
                <w:rFonts w:eastAsia="Calibri Light" w:cs="Calibri"/>
                <w:sz w:val="18"/>
                <w:szCs w:val="18"/>
                <w:lang w:val="en-US"/>
              </w:rPr>
              <w:t xml:space="preserve"> </w:t>
            </w:r>
            <w:proofErr w:type="spellStart"/>
            <w:r>
              <w:rPr>
                <w:rFonts w:eastAsia="Calibri Light" w:cs="Calibri"/>
                <w:sz w:val="18"/>
                <w:szCs w:val="18"/>
                <w:lang w:val="en-US"/>
              </w:rPr>
              <w:t>ini</w:t>
            </w:r>
            <w:proofErr w:type="spellEnd"/>
            <w:r>
              <w:rPr>
                <w:rFonts w:eastAsia="Calibri Light" w:cs="Calibri"/>
                <w:sz w:val="18"/>
                <w:szCs w:val="18"/>
                <w:lang w:val="en-US"/>
              </w:rPr>
              <w:t xml:space="preserve"> </w:t>
            </w:r>
            <w:proofErr w:type="spellStart"/>
            <w:r>
              <w:rPr>
                <w:rFonts w:eastAsia="Calibri Light" w:cs="Calibri"/>
                <w:sz w:val="18"/>
                <w:szCs w:val="18"/>
                <w:lang w:val="en-US"/>
              </w:rPr>
              <w:t>menyajikan</w:t>
            </w:r>
            <w:proofErr w:type="spellEnd"/>
            <w:r>
              <w:rPr>
                <w:rFonts w:eastAsia="Calibri Light" w:cs="Calibri"/>
                <w:sz w:val="18"/>
                <w:szCs w:val="18"/>
                <w:lang w:val="en-US"/>
              </w:rPr>
              <w:t xml:space="preserve"> </w:t>
            </w:r>
            <w:proofErr w:type="spellStart"/>
            <w:r>
              <w:rPr>
                <w:rFonts w:eastAsia="Calibri Light" w:cs="Calibri"/>
                <w:sz w:val="18"/>
                <w:szCs w:val="18"/>
                <w:lang w:val="en-US"/>
              </w:rPr>
              <w:t>rangkuman</w:t>
            </w:r>
            <w:proofErr w:type="spellEnd"/>
            <w:r>
              <w:rPr>
                <w:rFonts w:eastAsia="Calibri Light" w:cs="Calibri"/>
                <w:sz w:val="18"/>
                <w:szCs w:val="18"/>
                <w:lang w:val="en-US"/>
              </w:rPr>
              <w:t xml:space="preserve"> </w:t>
            </w:r>
            <w:proofErr w:type="spellStart"/>
            <w:r>
              <w:rPr>
                <w:rFonts w:eastAsia="Calibri Light" w:cs="Calibri"/>
                <w:sz w:val="18"/>
                <w:szCs w:val="18"/>
                <w:lang w:val="en-US"/>
              </w:rPr>
              <w:t>hasil</w:t>
            </w:r>
            <w:proofErr w:type="spellEnd"/>
            <w:r>
              <w:rPr>
                <w:rFonts w:eastAsia="Calibri Light" w:cs="Calibri"/>
                <w:sz w:val="18"/>
                <w:szCs w:val="18"/>
                <w:lang w:val="en-US"/>
              </w:rPr>
              <w:t xml:space="preserve"> </w:t>
            </w:r>
            <w:proofErr w:type="spellStart"/>
            <w:r>
              <w:rPr>
                <w:rFonts w:eastAsia="Calibri Light" w:cs="Calibri"/>
                <w:sz w:val="18"/>
                <w:szCs w:val="18"/>
                <w:lang w:val="en-US"/>
              </w:rPr>
              <w:t>dalam</w:t>
            </w:r>
            <w:proofErr w:type="spellEnd"/>
            <w:r>
              <w:rPr>
                <w:rFonts w:eastAsia="Calibri Light" w:cs="Calibri"/>
                <w:sz w:val="18"/>
                <w:szCs w:val="18"/>
                <w:lang w:val="en-US"/>
              </w:rPr>
              <w:t xml:space="preserve"> </w:t>
            </w:r>
            <w:proofErr w:type="spellStart"/>
            <w:r>
              <w:rPr>
                <w:rFonts w:eastAsia="Calibri Light" w:cs="Calibri"/>
                <w:sz w:val="18"/>
                <w:szCs w:val="18"/>
                <w:lang w:val="en-US"/>
              </w:rPr>
              <w:t>tes</w:t>
            </w:r>
            <w:proofErr w:type="spellEnd"/>
            <w:r>
              <w:rPr>
                <w:rFonts w:eastAsia="Calibri Light" w:cs="Calibri"/>
                <w:sz w:val="18"/>
                <w:szCs w:val="18"/>
                <w:lang w:val="en-US"/>
              </w:rPr>
              <w:t xml:space="preserve"> </w:t>
            </w:r>
            <w:proofErr w:type="spellStart"/>
            <w:r>
              <w:rPr>
                <w:rFonts w:eastAsia="Calibri Light" w:cs="Calibri"/>
                <w:sz w:val="18"/>
                <w:szCs w:val="18"/>
                <w:lang w:val="en-US"/>
              </w:rPr>
              <w:t>hipotesis</w:t>
            </w:r>
            <w:proofErr w:type="spellEnd"/>
            <w:r>
              <w:rPr>
                <w:rFonts w:eastAsia="Calibri Light" w:cs="Calibri"/>
                <w:sz w:val="18"/>
                <w:szCs w:val="18"/>
                <w:lang w:val="en-US"/>
              </w:rPr>
              <w:t xml:space="preserve">. </w:t>
            </w:r>
            <w:proofErr w:type="spellStart"/>
            <w:r>
              <w:rPr>
                <w:rFonts w:eastAsia="Calibri Light" w:cs="Calibri"/>
                <w:sz w:val="18"/>
                <w:szCs w:val="18"/>
                <w:lang w:val="en-US"/>
              </w:rPr>
              <w:t>Sampel</w:t>
            </w:r>
            <w:proofErr w:type="spellEnd"/>
            <w:r>
              <w:rPr>
                <w:rFonts w:eastAsia="Calibri Light" w:cs="Calibri"/>
                <w:sz w:val="18"/>
                <w:szCs w:val="18"/>
                <w:lang w:val="en-US"/>
              </w:rPr>
              <w:t xml:space="preserve"> </w:t>
            </w:r>
            <w:proofErr w:type="spellStart"/>
            <w:r>
              <w:rPr>
                <w:rFonts w:eastAsia="Calibri Light" w:cs="Calibri"/>
                <w:sz w:val="18"/>
                <w:szCs w:val="18"/>
                <w:lang w:val="en-US"/>
              </w:rPr>
              <w:t>terdiri</w:t>
            </w:r>
            <w:proofErr w:type="spellEnd"/>
            <w:r>
              <w:rPr>
                <w:rFonts w:eastAsia="Calibri Light" w:cs="Calibri"/>
                <w:sz w:val="18"/>
                <w:szCs w:val="18"/>
                <w:lang w:val="en-US"/>
              </w:rPr>
              <w:t xml:space="preserve"> </w:t>
            </w:r>
            <w:proofErr w:type="spellStart"/>
            <w:r>
              <w:rPr>
                <w:rFonts w:eastAsia="Calibri Light" w:cs="Calibri"/>
                <w:sz w:val="18"/>
                <w:szCs w:val="18"/>
                <w:lang w:val="en-US"/>
              </w:rPr>
              <w:t>dari</w:t>
            </w:r>
            <w:proofErr w:type="spellEnd"/>
            <w:r>
              <w:rPr>
                <w:rFonts w:eastAsia="Calibri Light" w:cs="Calibri"/>
                <w:sz w:val="18"/>
                <w:szCs w:val="18"/>
                <w:lang w:val="en-US"/>
              </w:rPr>
              <w:t xml:space="preserve"> Bank Syariah yang </w:t>
            </w:r>
            <w:proofErr w:type="spellStart"/>
            <w:r>
              <w:rPr>
                <w:rFonts w:eastAsia="Calibri Light" w:cs="Calibri"/>
                <w:sz w:val="18"/>
                <w:szCs w:val="18"/>
                <w:lang w:val="en-US"/>
              </w:rPr>
              <w:t>terdaftar</w:t>
            </w:r>
            <w:proofErr w:type="spellEnd"/>
            <w:r>
              <w:rPr>
                <w:rFonts w:eastAsia="Calibri Light" w:cs="Calibri"/>
                <w:sz w:val="18"/>
                <w:szCs w:val="18"/>
                <w:lang w:val="en-US"/>
              </w:rPr>
              <w:t xml:space="preserve"> </w:t>
            </w:r>
            <w:proofErr w:type="spellStart"/>
            <w:r>
              <w:rPr>
                <w:rFonts w:eastAsia="Calibri Light" w:cs="Calibri"/>
                <w:sz w:val="18"/>
                <w:szCs w:val="18"/>
                <w:lang w:val="en-US"/>
              </w:rPr>
              <w:t>dalam</w:t>
            </w:r>
            <w:proofErr w:type="spellEnd"/>
            <w:r>
              <w:rPr>
                <w:rFonts w:eastAsia="Calibri Light" w:cs="Calibri"/>
                <w:sz w:val="18"/>
                <w:szCs w:val="18"/>
                <w:lang w:val="en-US"/>
              </w:rPr>
              <w:t xml:space="preserve"> Bursa </w:t>
            </w:r>
            <w:proofErr w:type="spellStart"/>
            <w:r>
              <w:rPr>
                <w:rFonts w:eastAsia="Calibri Light" w:cs="Calibri"/>
                <w:sz w:val="18"/>
                <w:szCs w:val="18"/>
                <w:lang w:val="en-US"/>
              </w:rPr>
              <w:t>Efek</w:t>
            </w:r>
            <w:proofErr w:type="spellEnd"/>
            <w:r>
              <w:rPr>
                <w:rFonts w:eastAsia="Calibri Light" w:cs="Calibri"/>
                <w:sz w:val="18"/>
                <w:szCs w:val="18"/>
                <w:lang w:val="en-US"/>
              </w:rPr>
              <w:t xml:space="preserve"> Indonesia </w:t>
            </w:r>
            <w:proofErr w:type="spellStart"/>
            <w:r>
              <w:rPr>
                <w:rFonts w:eastAsia="Calibri Light" w:cs="Calibri"/>
                <w:sz w:val="18"/>
                <w:szCs w:val="18"/>
                <w:lang w:val="en-US"/>
              </w:rPr>
              <w:t>dari</w:t>
            </w:r>
            <w:proofErr w:type="spellEnd"/>
            <w:r>
              <w:rPr>
                <w:rFonts w:eastAsia="Calibri Light" w:cs="Calibri"/>
                <w:sz w:val="18"/>
                <w:szCs w:val="18"/>
                <w:lang w:val="en-US"/>
              </w:rPr>
              <w:t xml:space="preserve"> 2014 </w:t>
            </w:r>
            <w:proofErr w:type="spellStart"/>
            <w:r>
              <w:rPr>
                <w:rFonts w:eastAsia="Calibri Light" w:cs="Calibri"/>
                <w:sz w:val="18"/>
                <w:szCs w:val="18"/>
                <w:lang w:val="en-US"/>
              </w:rPr>
              <w:t>sampai</w:t>
            </w:r>
            <w:proofErr w:type="spellEnd"/>
            <w:r>
              <w:rPr>
                <w:rFonts w:eastAsia="Calibri Light" w:cs="Calibri"/>
                <w:sz w:val="18"/>
                <w:szCs w:val="18"/>
                <w:lang w:val="en-US"/>
              </w:rPr>
              <w:t xml:space="preserve"> 2020. ***, </w:t>
            </w:r>
            <w:proofErr w:type="spellStart"/>
            <w:r>
              <w:rPr>
                <w:rFonts w:eastAsia="Calibri Light" w:cs="Calibri"/>
                <w:sz w:val="18"/>
                <w:szCs w:val="18"/>
                <w:lang w:val="en-US"/>
              </w:rPr>
              <w:t>menunjukkan</w:t>
            </w:r>
            <w:proofErr w:type="spellEnd"/>
            <w:r>
              <w:rPr>
                <w:rFonts w:eastAsia="Calibri Light" w:cs="Calibri"/>
                <w:sz w:val="18"/>
                <w:szCs w:val="18"/>
                <w:lang w:val="en-US"/>
              </w:rPr>
              <w:t xml:space="preserve"> </w:t>
            </w:r>
            <w:proofErr w:type="spellStart"/>
            <w:r>
              <w:rPr>
                <w:rFonts w:eastAsia="Calibri Light" w:cs="Calibri"/>
                <w:sz w:val="18"/>
                <w:szCs w:val="18"/>
                <w:lang w:val="en-US"/>
              </w:rPr>
              <w:t>tingkat</w:t>
            </w:r>
            <w:proofErr w:type="spellEnd"/>
            <w:r>
              <w:rPr>
                <w:rFonts w:eastAsia="Calibri Light" w:cs="Calibri"/>
                <w:sz w:val="18"/>
                <w:szCs w:val="18"/>
                <w:lang w:val="en-US"/>
              </w:rPr>
              <w:t xml:space="preserve"> </w:t>
            </w:r>
            <w:proofErr w:type="spellStart"/>
            <w:r>
              <w:rPr>
                <w:rFonts w:eastAsia="Calibri Light" w:cs="Calibri"/>
                <w:sz w:val="18"/>
                <w:szCs w:val="18"/>
                <w:lang w:val="en-US"/>
              </w:rPr>
              <w:t>signifikansi</w:t>
            </w:r>
            <w:proofErr w:type="spellEnd"/>
            <w:r>
              <w:rPr>
                <w:rFonts w:eastAsia="Calibri Light" w:cs="Calibri"/>
                <w:sz w:val="18"/>
                <w:szCs w:val="18"/>
                <w:lang w:val="en-US"/>
              </w:rPr>
              <w:t xml:space="preserve"> pada level 1%.</w:t>
            </w:r>
          </w:p>
        </w:tc>
      </w:tr>
    </w:tbl>
    <w:p w14:paraId="1299ACDD" w14:textId="77777777" w:rsidR="00B23DAE" w:rsidRDefault="00B23DAE" w:rsidP="00917A6B">
      <w:pPr>
        <w:pStyle w:val="ISI"/>
      </w:pPr>
    </w:p>
    <w:p w14:paraId="6F348444" w14:textId="622BE41F" w:rsidR="009B3DA6" w:rsidRPr="009B3DA6" w:rsidRDefault="00B74C60" w:rsidP="009B3DA6">
      <w:pPr>
        <w:pStyle w:val="I-POINT"/>
        <w:ind w:left="0" w:firstLine="425"/>
        <w:jc w:val="both"/>
        <w:rPr>
          <w:rFonts w:eastAsia="Calibri Light"/>
          <w:b w:val="0"/>
          <w:bCs w:val="0"/>
          <w:lang w:val="en-US"/>
        </w:rPr>
      </w:pPr>
      <w:r w:rsidRPr="00BF5210">
        <w:rPr>
          <w:rFonts w:eastAsia="Calibri Light"/>
          <w:b w:val="0"/>
          <w:bCs w:val="0"/>
          <w:lang w:val="en-US"/>
        </w:rPr>
        <w:fldChar w:fldCharType="begin" w:fldLock="1"/>
      </w:r>
      <w:r w:rsidR="00E96528" w:rsidRPr="00BF5210">
        <w:rPr>
          <w:rFonts w:eastAsia="Calibri Light"/>
          <w:b w:val="0"/>
          <w:bCs w:val="0"/>
          <w:lang w:val="en-US"/>
        </w:rPr>
        <w:instrText>ADDIN CSL_CITATION {"citationItems":[{"id":"ITEM-1","itemData":{"DOI":"10.1108/JIC-12-2017-0184","ISSN":"17587468","abstract":"Purpose: The purpose of this paper is to propose an extended and modified value-added (VA) intellectual coefficient (VAIC) model, which includes intellectual capital (IC) components which were missing in the original VAIC approach. The proposed model has been used to explore the relationship between IC and firm performance for Turkish manufacturing firms on a more detailed level. Design/methodology/approach: Multiple regression analysis has been employed to identify the IC components, which predict the performance of the firm and the moderating effect of some IC components on IC components–firm performance relationship. Data are required to calculate the IC components, and firm performance variables have been obtained from the financial reports of the Turkish manufacturing firms for the period 2003–2013. Findings: According to the results for Turkish manufacturing sector innovation capital efficiency has a moderating effect on the relationship between structural capital efficiency (SCE) and profitability, meaning, depending on an increase in R&amp;D expenses, the effect of SCE on profitability also increases. On the other hand, it has been found that innovation capital efficiency has a direct impact on firms’ productivity. The results also showed that IC efficiency components have a moderating role on the relationship between capital employed efficiency and profitability. Research limitations/implications: There might be a time lag until the effect of R&amp;D investments can be observed in firms’ performance. However, this lagged impact of innovation capital and also other IC components on future firm performance has not been investigated due to concerns related to sample size. Originality/value: The proposed model differs from the original VAIC model in three ways: it, namely, includes two additional IC components, customer capital (CC) and innovation capital. It explores the moderating effect of innovation capital on structural capital–firm performance relationship and the moderating effect of IC components on employed capital–firm performance relationship. As the last difference, it proposes an alteration in the VA calculation due to newly added IC components, CC and innovation capital.","author":[{"dropping-particle":"","family":"Bayraktaroglu","given":"Ayse Elvan","non-dropping-particle":"","parse-names":false,"suffix":""},{"dropping-particle":"","family":"Calisir","given":"Fethi","non-dropping-particle":"","parse-names":false,"suffix":""},{"dropping-particle":"","family":"Baskak","given":"Murat","non-dropping-particle":"","parse-names":false,"suffix":""}],"container-title":"Journal of Intellectual Capital","id":"ITEM-1","issue":"3","issued":{"date-parts":[["2019"]]},"page":"406-425","title":"Intellectual capital and firm performance: an extended VAIC model","type":"article-journal","volume":"20"},"uris":["http://www.mendeley.com/documents/?uuid=db4fc1c2-f005-4486-a1ad-76009fcdb3e9"]}],"mendeley":{"formattedCitation":"(Bayraktaroglu et al., 2019)","manualFormatting":"Bayraktaroglu et al., (2019)","plainTextFormattedCitation":"(Bayraktaroglu et al., 2019)","previouslyFormattedCitation":"(Bayraktaroglu et al., 2019)"},"properties":{"noteIndex":0},"schema":"https://github.com/citation-style-language/schema/raw/master/csl-citation.json"}</w:instrText>
      </w:r>
      <w:r w:rsidRPr="00BF5210">
        <w:rPr>
          <w:rFonts w:eastAsia="Calibri Light"/>
          <w:b w:val="0"/>
          <w:bCs w:val="0"/>
          <w:lang w:val="en-US"/>
        </w:rPr>
        <w:fldChar w:fldCharType="separate"/>
      </w:r>
      <w:r w:rsidRPr="00BF5210">
        <w:rPr>
          <w:rFonts w:eastAsia="Calibri Light"/>
          <w:b w:val="0"/>
          <w:bCs w:val="0"/>
          <w:noProof/>
          <w:lang w:val="en-US"/>
        </w:rPr>
        <w:t>Bayraktaroglu et al., (2019)</w:t>
      </w:r>
      <w:r w:rsidRPr="00BF5210">
        <w:rPr>
          <w:rFonts w:eastAsia="Calibri Light"/>
          <w:b w:val="0"/>
          <w:bCs w:val="0"/>
          <w:lang w:val="en-US"/>
        </w:rPr>
        <w:fldChar w:fldCharType="end"/>
      </w:r>
      <w:r w:rsidRPr="00BF5210">
        <w:rPr>
          <w:rFonts w:eastAsia="Calibri Light"/>
          <w:b w:val="0"/>
          <w:bCs w:val="0"/>
          <w:lang w:val="en-US"/>
        </w:rPr>
        <w:t xml:space="preserve"> </w:t>
      </w:r>
      <w:r w:rsidR="009B3DA6" w:rsidRPr="00BF5210">
        <w:rPr>
          <w:rFonts w:eastAsia="Calibri Light"/>
          <w:b w:val="0"/>
          <w:bCs w:val="0"/>
          <w:lang w:val="en-US"/>
        </w:rPr>
        <w:t xml:space="preserve">explained that intellectual capital is the company's intellectual property. Therefore, if this variable is higher, profitability will also increase. If it is managed properly, the added value will also increase. </w:t>
      </w:r>
      <w:r w:rsidRPr="00BF5210">
        <w:rPr>
          <w:rFonts w:eastAsia="Calibri Light"/>
          <w:b w:val="0"/>
          <w:bCs w:val="0"/>
          <w:lang w:val="en-US"/>
        </w:rPr>
        <w:fldChar w:fldCharType="begin" w:fldLock="1"/>
      </w:r>
      <w:r w:rsidR="00E96528" w:rsidRPr="00BF5210">
        <w:rPr>
          <w:rFonts w:eastAsia="Calibri Light"/>
          <w:b w:val="0"/>
          <w:bCs w:val="0"/>
          <w:lang w:val="en-US"/>
        </w:rPr>
        <w:instrText>ADDIN CSL_CITATION {"citationItems":[{"id":"ITEM-1","itemData":{"DOI":"10.3905/jesg.2020.1.1.076","ISSN":"2693-1982","abstract":"In the last decade, companies have come under pressure to be socially conscious and environmentally responsible, with the pressure coming sometimes from politicians, regulators and interest groups, and sometimes from investors. The argument that corporate managers should replace their singular focus on shareholders with a broader vision, where they also serve other stakeholders, including customers, employees and society, has found a receptive audience with corporate CEOs and institutional investors. The pitch that companies should focus on \"doing good\" is sweetened with the promise that it will also be good for their bottom line and for shareholders. In this paper, we build a framework for value that will allow us to examine how being socially responsible can manifest in the tangible ingredients of value and look at the evidence for whether being socially responsible is creating value for companies and for investors.","author":[{"dropping-particle":"","family":"Cornell","given":"Bradford","non-dropping-particle":"","parse-names":false,"suffix":""},{"dropping-particle":"","family":"Damodaran","given":"Aswath","non-dropping-particle":"","parse-names":false,"suffix":""}],"container-title":"The Journal of Impact and ESG Investing","id":"ITEM-1","issue":"1","issued":{"date-parts":[["2020"]]},"page":"76-93","title":" Valuing ESG: Doing Good or Sounding Good? ","type":"article-journal","volume":"1"},"uris":["http://www.mendeley.com/documents/?uuid=ee17a38a-442a-47bd-9c68-485d834ac3e0","http://www.mendeley.com/documents/?uuid=ba18702b-0596-477b-9f5c-8dbf16819bf9"]}],"mendeley":{"formattedCitation":"(Cornell &amp; Damodaran, 2020)","manualFormatting":"Cornell &amp; Damodaran, (2020)","plainTextFormattedCitation":"(Cornell &amp; Damodaran, 2020)","previouslyFormattedCitation":"(Cornell &amp; Damodaran, 2020)"},"properties":{"noteIndex":0},"schema":"https://github.com/citation-style-language/schema/raw/master/csl-citation.json"}</w:instrText>
      </w:r>
      <w:r w:rsidRPr="00BF5210">
        <w:rPr>
          <w:rFonts w:eastAsia="Calibri Light"/>
          <w:b w:val="0"/>
          <w:bCs w:val="0"/>
          <w:lang w:val="en-US"/>
        </w:rPr>
        <w:fldChar w:fldCharType="separate"/>
      </w:r>
      <w:r w:rsidRPr="00BF5210">
        <w:rPr>
          <w:rFonts w:eastAsia="Calibri Light"/>
          <w:b w:val="0"/>
          <w:bCs w:val="0"/>
          <w:noProof/>
          <w:lang w:val="en-US"/>
        </w:rPr>
        <w:t>Cornell &amp; Damodaran, (2020)</w:t>
      </w:r>
      <w:r w:rsidRPr="00BF5210">
        <w:rPr>
          <w:rFonts w:eastAsia="Calibri Light"/>
          <w:b w:val="0"/>
          <w:bCs w:val="0"/>
          <w:lang w:val="en-US"/>
        </w:rPr>
        <w:fldChar w:fldCharType="end"/>
      </w:r>
      <w:r w:rsidRPr="00BF5210">
        <w:rPr>
          <w:rFonts w:eastAsia="Calibri Light"/>
          <w:b w:val="0"/>
          <w:bCs w:val="0"/>
          <w:lang w:val="en-US"/>
        </w:rPr>
        <w:t xml:space="preserve"> </w:t>
      </w:r>
      <w:r w:rsidR="009B3DA6" w:rsidRPr="00BF5210">
        <w:rPr>
          <w:rFonts w:eastAsia="Calibri Light"/>
          <w:b w:val="0"/>
          <w:bCs w:val="0"/>
          <w:lang w:val="en-US"/>
        </w:rPr>
        <w:t xml:space="preserve">explain that if the company's value is good, then investors will invest a lot so that the results will increase profitability. These results align with the research of </w:t>
      </w:r>
      <w:proofErr w:type="spellStart"/>
      <w:r w:rsidR="009B3DA6" w:rsidRPr="00BF5210">
        <w:rPr>
          <w:rFonts w:eastAsia="Calibri Light"/>
          <w:b w:val="0"/>
          <w:bCs w:val="0"/>
          <w:lang w:val="en-US"/>
        </w:rPr>
        <w:t>Farihah</w:t>
      </w:r>
      <w:proofErr w:type="spellEnd"/>
      <w:r w:rsidR="009B3DA6" w:rsidRPr="00BF5210">
        <w:rPr>
          <w:rFonts w:eastAsia="Calibri Light"/>
          <w:b w:val="0"/>
          <w:bCs w:val="0"/>
          <w:lang w:val="en-US"/>
        </w:rPr>
        <w:t xml:space="preserve"> &amp; Setiawan (2020) and </w:t>
      </w:r>
      <w:proofErr w:type="spellStart"/>
      <w:r w:rsidR="009B3DA6" w:rsidRPr="00BF5210">
        <w:rPr>
          <w:rFonts w:eastAsia="Calibri Light"/>
          <w:b w:val="0"/>
          <w:bCs w:val="0"/>
          <w:lang w:val="en-US"/>
        </w:rPr>
        <w:t>Dewanata</w:t>
      </w:r>
      <w:proofErr w:type="spellEnd"/>
      <w:r w:rsidR="009B3DA6" w:rsidRPr="00BF5210">
        <w:rPr>
          <w:rFonts w:eastAsia="Calibri Light"/>
          <w:b w:val="0"/>
          <w:bCs w:val="0"/>
          <w:lang w:val="en-US"/>
        </w:rPr>
        <w:t xml:space="preserve"> et al. (2016), whose results are influential.</w:t>
      </w:r>
    </w:p>
    <w:p w14:paraId="75E184A6" w14:textId="57264CA7" w:rsidR="009B3DA6" w:rsidRPr="009B3DA6" w:rsidRDefault="009B3DA6" w:rsidP="009B3DA6">
      <w:pPr>
        <w:pStyle w:val="I-POINT"/>
        <w:ind w:left="0" w:firstLine="425"/>
        <w:jc w:val="both"/>
        <w:rPr>
          <w:rFonts w:eastAsia="Calibri Light"/>
          <w:b w:val="0"/>
          <w:bCs w:val="0"/>
          <w:lang w:val="en-US"/>
        </w:rPr>
      </w:pPr>
      <w:r w:rsidRPr="009B3DA6">
        <w:rPr>
          <w:rFonts w:eastAsia="Calibri Light"/>
          <w:b w:val="0"/>
          <w:bCs w:val="0"/>
          <w:lang w:val="en-US"/>
        </w:rPr>
        <w:t>Intellectual capital is a resource in the form of knowledge for future economic benefits. T</w:t>
      </w:r>
      <w:r>
        <w:rPr>
          <w:rFonts w:eastAsia="Calibri Light"/>
          <w:b w:val="0"/>
          <w:bCs w:val="0"/>
          <w:lang w:val="en-US"/>
        </w:rPr>
        <w:t>herefore, t</w:t>
      </w:r>
      <w:r w:rsidRPr="009B3DA6">
        <w:rPr>
          <w:rFonts w:eastAsia="Calibri Light"/>
          <w:b w:val="0"/>
          <w:bCs w:val="0"/>
          <w:lang w:val="en-US"/>
        </w:rPr>
        <w:t xml:space="preserve">his variable has a relationship </w:t>
      </w:r>
      <w:r>
        <w:rPr>
          <w:rFonts w:eastAsia="Calibri Light"/>
          <w:b w:val="0"/>
          <w:bCs w:val="0"/>
          <w:lang w:val="en-US"/>
        </w:rPr>
        <w:t>to</w:t>
      </w:r>
      <w:r w:rsidRPr="009B3DA6">
        <w:rPr>
          <w:rFonts w:eastAsia="Calibri Light"/>
          <w:b w:val="0"/>
          <w:bCs w:val="0"/>
          <w:lang w:val="en-US"/>
        </w:rPr>
        <w:t xml:space="preserve"> creating value in increasing competitive advantage. If the company </w:t>
      </w:r>
      <w:r>
        <w:rPr>
          <w:rFonts w:eastAsia="Calibri Light"/>
          <w:b w:val="0"/>
          <w:bCs w:val="0"/>
          <w:lang w:val="en-US"/>
        </w:rPr>
        <w:t>can</w:t>
      </w:r>
      <w:r w:rsidRPr="009B3DA6">
        <w:rPr>
          <w:rFonts w:eastAsia="Calibri Light"/>
          <w:b w:val="0"/>
          <w:bCs w:val="0"/>
          <w:lang w:val="en-US"/>
        </w:rPr>
        <w:t xml:space="preserve"> compete, the business world will have a strong competitive </w:t>
      </w:r>
      <w:r w:rsidRPr="00BF5210">
        <w:rPr>
          <w:rFonts w:eastAsia="Calibri Light"/>
          <w:b w:val="0"/>
          <w:bCs w:val="0"/>
          <w:lang w:val="en-US"/>
        </w:rPr>
        <w:t xml:space="preserve">atmosphere. </w:t>
      </w:r>
      <w:r w:rsidR="005D0784" w:rsidRPr="00BF5210">
        <w:rPr>
          <w:rFonts w:eastAsia="Calibri Light"/>
          <w:b w:val="0"/>
          <w:bCs w:val="0"/>
          <w:lang w:val="en-US"/>
        </w:rPr>
        <w:fldChar w:fldCharType="begin" w:fldLock="1"/>
      </w:r>
      <w:r w:rsidR="00E96528" w:rsidRPr="00BF5210">
        <w:rPr>
          <w:rFonts w:eastAsia="Calibri Light"/>
          <w:b w:val="0"/>
          <w:bCs w:val="0"/>
          <w:lang w:val="en-US"/>
        </w:rPr>
        <w:instrText>ADDIN CSL_CITATION {"citationItems":[{"id":"ITEM-1","itemData":{"DOI":"10.1007/978-3-030-05014-6_3","ISBN":"978-3-030-05014-6","abstract":"The need to overcome the limitations connected with the traditional financial reporting has driven the development of intellectual capital (IC) and corporate social responsibility (CSR) disclosure. Such need has also highlighted the relevance of an integrated reporting, recently supported by the Directive 2014/95/EU, which makes mandatory the disclosure of non-financial information for large-sized enterprises. The chapter focusses on the disclosure of the IC issues provided by the Italian systemically important banks. To conduct our analysis, we defined a disclosure model for the IC issues and collected data from the reports available on the banks’ websites; we used a deductive content analysis, integrated by the Scott’s pi test in order to evaluate the inter-coder reliability. Our findings, accordingly to prior literature, point out an incomplete IC disclosure, meaning that banks should extend the level of reporting on IC issues, and particularly they should improve the presence of forward-looking information and the quantified terms of IC elements.","author":[{"dropping-particle":"","family":"Birindelli","given":"Giuliana","non-dropping-particle":"","parse-names":false,"suffix":""},{"dropping-particle":"","family":"Ferretti","given":"Paola","non-dropping-particle":"","parse-names":false,"suffix":""},{"dropping-particle":"","family":"Chiappini","given":"Helen","non-dropping-particle":"","parse-names":false,"suffix":""}],"editor":[{"dropping-particle":"","family":"Torre","given":"Mario","non-dropping-particle":"La","parse-names":false,"suffix":""},{"dropping-particle":"","family":"Chiappini","given":"Helen","non-dropping-particle":"","parse-names":false,"suffix":""}],"id":"ITEM-1","issued":{"date-parts":[["2019"]]},"page":"37-59","publisher":"Springer International Publishing","publisher-place":"Cham","title":"Intellectual Capital Disclosure: Evidence from the Italian Systemically Important Banks BT  - Socially Responsible Investments: The Crossroads Between Institutional and Retail Investors","type":"chapter"},"uris":["http://www.mendeley.com/documents/?uuid=3d210810-38fb-420a-9f1f-94f30078641a","http://www.mendeley.com/documents/?uuid=1973210e-2e46-4e60-9240-47f7c3f0a099"]}],"mendeley":{"formattedCitation":"(Birindelli et al., 2019)","manualFormatting":"Birindelli et al., (2019)","plainTextFormattedCitation":"(Birindelli et al., 2019)","previouslyFormattedCitation":"(Birindelli et al., 2019)"},"properties":{"noteIndex":0},"schema":"https://github.com/citation-style-language/schema/raw/master/csl-citation.json"}</w:instrText>
      </w:r>
      <w:r w:rsidR="005D0784" w:rsidRPr="00BF5210">
        <w:rPr>
          <w:rFonts w:eastAsia="Calibri Light"/>
          <w:b w:val="0"/>
          <w:bCs w:val="0"/>
          <w:lang w:val="en-US"/>
        </w:rPr>
        <w:fldChar w:fldCharType="separate"/>
      </w:r>
      <w:r w:rsidR="005D0784" w:rsidRPr="00BF5210">
        <w:rPr>
          <w:rFonts w:eastAsia="Calibri Light"/>
          <w:b w:val="0"/>
          <w:bCs w:val="0"/>
          <w:noProof/>
          <w:lang w:val="en-US"/>
        </w:rPr>
        <w:t>Birindelli et al., (2019)</w:t>
      </w:r>
      <w:r w:rsidR="005D0784" w:rsidRPr="00BF5210">
        <w:rPr>
          <w:rFonts w:eastAsia="Calibri Light"/>
          <w:b w:val="0"/>
          <w:bCs w:val="0"/>
          <w:lang w:val="en-US"/>
        </w:rPr>
        <w:fldChar w:fldCharType="end"/>
      </w:r>
      <w:r w:rsidR="005D0784" w:rsidRPr="00BF5210">
        <w:rPr>
          <w:rFonts w:eastAsia="Calibri Light"/>
          <w:b w:val="0"/>
          <w:bCs w:val="0"/>
          <w:lang w:val="en-US"/>
        </w:rPr>
        <w:t xml:space="preserve"> </w:t>
      </w:r>
      <w:r w:rsidRPr="00BF5210">
        <w:rPr>
          <w:rFonts w:eastAsia="Calibri Light"/>
          <w:b w:val="0"/>
          <w:bCs w:val="0"/>
          <w:lang w:val="en-US"/>
        </w:rPr>
        <w:t xml:space="preserve">explains that IC in banking has the most intensive and homogeneous position compared to other sectors. These results align with the research of </w:t>
      </w:r>
      <w:proofErr w:type="spellStart"/>
      <w:r w:rsidRPr="00BF5210">
        <w:rPr>
          <w:rFonts w:eastAsia="Calibri Light"/>
          <w:b w:val="0"/>
          <w:bCs w:val="0"/>
          <w:lang w:val="en-US"/>
        </w:rPr>
        <w:t>Farihah</w:t>
      </w:r>
      <w:proofErr w:type="spellEnd"/>
      <w:r w:rsidRPr="00BF5210">
        <w:rPr>
          <w:rFonts w:eastAsia="Calibri Light"/>
          <w:b w:val="0"/>
          <w:bCs w:val="0"/>
          <w:lang w:val="en-US"/>
        </w:rPr>
        <w:t xml:space="preserve"> &amp; Setiawan (2020) and </w:t>
      </w:r>
      <w:proofErr w:type="spellStart"/>
      <w:r w:rsidRPr="00BF5210">
        <w:rPr>
          <w:rFonts w:eastAsia="Calibri Light"/>
          <w:b w:val="0"/>
          <w:bCs w:val="0"/>
          <w:lang w:val="en-US"/>
        </w:rPr>
        <w:t>Dewanata</w:t>
      </w:r>
      <w:proofErr w:type="spellEnd"/>
      <w:r w:rsidRPr="00BF5210">
        <w:rPr>
          <w:rFonts w:eastAsia="Calibri Light"/>
          <w:b w:val="0"/>
          <w:bCs w:val="0"/>
          <w:lang w:val="en-US"/>
        </w:rPr>
        <w:t xml:space="preserve"> et al. (2016), whose results are influential.</w:t>
      </w:r>
    </w:p>
    <w:p w14:paraId="1D430C99" w14:textId="6CDAE165" w:rsidR="009B3DA6" w:rsidRPr="00BF5210" w:rsidRDefault="005D0784" w:rsidP="009B3DA6">
      <w:pPr>
        <w:pStyle w:val="I-POINT"/>
        <w:ind w:left="0" w:firstLine="425"/>
        <w:jc w:val="both"/>
        <w:rPr>
          <w:rFonts w:eastAsia="Calibri Light"/>
          <w:b w:val="0"/>
          <w:bCs w:val="0"/>
          <w:lang w:val="en-US"/>
        </w:rPr>
      </w:pPr>
      <w:r w:rsidRPr="00BF5210">
        <w:rPr>
          <w:rFonts w:eastAsia="Calibri Light"/>
          <w:b w:val="0"/>
          <w:bCs w:val="0"/>
          <w:lang w:val="en-US"/>
        </w:rPr>
        <w:fldChar w:fldCharType="begin" w:fldLock="1"/>
      </w:r>
      <w:r w:rsidR="00E96528" w:rsidRPr="00BF5210">
        <w:rPr>
          <w:rFonts w:eastAsia="Calibri Light"/>
          <w:b w:val="0"/>
          <w:bCs w:val="0"/>
          <w:lang w:val="en-US"/>
        </w:rPr>
        <w:instrText>ADDIN CSL_CITATION {"citationItems":[{"id":"ITEM-1","itemData":{"DOI":"10.1108/IJIF-08-2018-0088","ISSN":"0128-1976","abstract":"Purpose-This paper considers zakat (Islamic tax) as an alternative indicator to measure the performance of Islamic banks (IBs). It aims to examine whether zakat ratios can be used as Islamic performance (ISPER) indicators for IBs besides the conventional performance (COPER) indicators. Design/methodology/approach-The investigation covered a sample of 214 yearly observations of 37 IBs located in Indonesia, Malaysia, Bahrain, Saudi Arabia and the United Arab Emirates for the period 2007-2015. This study used a single-factor congeneric model and confirmatory factor analysis, performed using the AMOS 23.0 software. Findings-The findings assert that the discriminant validity of multi-bank performance, as measured by ISPER [zakat on assets (ZOA) and zakat on equity (ZOE)] and COPER indicators (return on assets, return on equity and operational efficiency in terms of assets), is very high. Hence, ISPER and COPER measurements are valid, either together to measure the multi-performance of IBs from both the Islamic and conventional perspectives, or independently as each measurement is valid to measure the Islamic and conventional performance if it is used separately. Research limitations/implications-This paper does not investigate whether the findings are constant across time. This represents one of the limitations of this study. Practical implications-It is strongly recommended that IBs calculate and disclose zakat ratios, particularly ZOA and ZOE, in their annual reports. Researchers and academicians should use these ratios for measuring the ISPER of IBs, either along with COPER or separately. Originality/value-Empirical evidence is provided in this paper on the development and validity of zakat ratios as ISPER indicators in the Islamic banking industry. Zakat ratios are suitable indicators that can measure IBs' performance and achieve the goals of IBs as well as those of Islamic economics.","author":[{"dropping-particle":"","family":"Nomran","given":"Naji Mansour","non-dropping-particle":"","parse-names":false,"suffix":""},{"dropping-particle":"","family":"Haron","given":"Razali","non-dropping-particle":"","parse-names":false,"suffix":""}],"container-title":"ISRA International Journal of Islamic Finance","id":"ITEM-1","issue":"1","issued":{"date-parts":[["2022"]]},"page":"38-58","title":"Validity of zakat ratios as Islamic performance indicators in Islamic banking: a congeneric model and confirmatory factor analysis","type":"article-journal","volume":"14"},"uris":["http://www.mendeley.com/documents/?uuid=a857de48-6ecc-4830-afcb-b82a221cd098","http://www.mendeley.com/documents/?uuid=03a90268-37f7-3e68-bb9b-f7c75780f236"]}],"mendeley":{"formattedCitation":"(Nomran &amp; Haron, 2022)","manualFormatting":"Nomran &amp; Haron, (2022)","plainTextFormattedCitation":"(Nomran &amp; Haron, 2022)","previouslyFormattedCitation":"(Nomran &amp; Haron, 2022)"},"properties":{"noteIndex":0},"schema":"https://github.com/citation-style-language/schema/raw/master/csl-citation.json"}</w:instrText>
      </w:r>
      <w:r w:rsidRPr="00BF5210">
        <w:rPr>
          <w:rFonts w:eastAsia="Calibri Light"/>
          <w:b w:val="0"/>
          <w:bCs w:val="0"/>
          <w:lang w:val="en-US"/>
        </w:rPr>
        <w:fldChar w:fldCharType="separate"/>
      </w:r>
      <w:r w:rsidRPr="00BF5210">
        <w:rPr>
          <w:rFonts w:eastAsia="Calibri Light"/>
          <w:b w:val="0"/>
          <w:bCs w:val="0"/>
          <w:noProof/>
          <w:lang w:val="en-US"/>
        </w:rPr>
        <w:t>Nomran &amp; Haron, (2022)</w:t>
      </w:r>
      <w:r w:rsidRPr="00BF5210">
        <w:rPr>
          <w:rFonts w:eastAsia="Calibri Light"/>
          <w:b w:val="0"/>
          <w:bCs w:val="0"/>
          <w:lang w:val="en-US"/>
        </w:rPr>
        <w:fldChar w:fldCharType="end"/>
      </w:r>
      <w:r w:rsidRPr="00BF5210">
        <w:rPr>
          <w:rFonts w:eastAsia="Calibri Light"/>
          <w:b w:val="0"/>
          <w:bCs w:val="0"/>
          <w:lang w:val="en-US"/>
        </w:rPr>
        <w:t xml:space="preserve"> </w:t>
      </w:r>
      <w:r w:rsidR="009B3DA6" w:rsidRPr="00BF5210">
        <w:rPr>
          <w:rFonts w:eastAsia="Calibri Light"/>
          <w:b w:val="0"/>
          <w:bCs w:val="0"/>
          <w:lang w:val="en-US"/>
        </w:rPr>
        <w:t>explain if the Zakat performing ratio in Islamic banks consists of internal entities (assets) and outside entities (customers). As a result, the amount of zakat performing ratio issued tends to be low, which is dominated by Zakat performing ratio outside the entity. As a result, Zakat has no effect on the existence of profitability.</w:t>
      </w:r>
    </w:p>
    <w:p w14:paraId="2FBD0ABC" w14:textId="161B04C5" w:rsidR="009B3DA6" w:rsidRPr="00BF5210" w:rsidRDefault="009B3DA6" w:rsidP="009B3DA6">
      <w:pPr>
        <w:pStyle w:val="I-POINT"/>
        <w:ind w:left="0" w:firstLine="425"/>
        <w:jc w:val="both"/>
        <w:rPr>
          <w:rFonts w:eastAsia="Calibri Light"/>
          <w:b w:val="0"/>
          <w:bCs w:val="0"/>
          <w:lang w:val="en-US"/>
        </w:rPr>
      </w:pPr>
      <w:r w:rsidRPr="00BF5210">
        <w:rPr>
          <w:rFonts w:eastAsia="Calibri Light"/>
          <w:b w:val="0"/>
          <w:bCs w:val="0"/>
          <w:lang w:val="en-US"/>
        </w:rPr>
        <w:t xml:space="preserve">Zakat is an order in Islam included in one of the objectives of establishing sharia accounting. </w:t>
      </w:r>
      <w:r w:rsidR="005D0784" w:rsidRPr="00BF5210">
        <w:rPr>
          <w:rFonts w:eastAsia="Calibri Light"/>
          <w:b w:val="0"/>
          <w:bCs w:val="0"/>
          <w:lang w:val="en-US"/>
        </w:rPr>
        <w:fldChar w:fldCharType="begin" w:fldLock="1"/>
      </w:r>
      <w:r w:rsidR="00E96528" w:rsidRPr="00BF5210">
        <w:rPr>
          <w:rFonts w:eastAsia="Calibri Light"/>
          <w:b w:val="0"/>
          <w:bCs w:val="0"/>
          <w:lang w:val="en-US"/>
        </w:rPr>
        <w:instrText>ADDIN CSL_CITATION {"citationItems":[{"id":"ITEM-1","itemData":{"DOI":"10.1108/IJIF-08-2018-0088","ISSN":"0128-1976","abstract":"Purpose-This paper considers zakat (Islamic tax) as an alternative indicator to measure the performance of Islamic banks (IBs). It aims to examine whether zakat ratios can be used as Islamic performance (ISPER) indicators for IBs besides the conventional performance (COPER) indicators. Design/methodology/approach-The investigation covered a sample of 214 yearly observations of 37 IBs located in Indonesia, Malaysia, Bahrain, Saudi Arabia and the United Arab Emirates for the period 2007-2015. This study used a single-factor congeneric model and confirmatory factor analysis, performed using the AMOS 23.0 software. Findings-The findings assert that the discriminant validity of multi-bank performance, as measured by ISPER [zakat on assets (ZOA) and zakat on equity (ZOE)] and COPER indicators (return on assets, return on equity and operational efficiency in terms of assets), is very high. Hence, ISPER and COPER measurements are valid, either together to measure the multi-performance of IBs from both the Islamic and conventional perspectives, or independently as each measurement is valid to measure the Islamic and conventional performance if it is used separately. Research limitations/implications-This paper does not investigate whether the findings are constant across time. This represents one of the limitations of this study. Practical implications-It is strongly recommended that IBs calculate and disclose zakat ratios, particularly ZOA and ZOE, in their annual reports. Researchers and academicians should use these ratios for measuring the ISPER of IBs, either along with COPER or separately. Originality/value-Empirical evidence is provided in this paper on the development and validity of zakat ratios as ISPER indicators in the Islamic banking industry. Zakat ratios are suitable indicators that can measure IBs' performance and achieve the goals of IBs as well as those of Islamic economics.","author":[{"dropping-particle":"","family":"Nomran","given":"Naji Mansour","non-dropping-particle":"","parse-names":false,"suffix":""},{"dropping-particle":"","family":"Haron","given":"Razali","non-dropping-particle":"","parse-names":false,"suffix":""}],"container-title":"ISRA International Journal of Islamic Finance","id":"ITEM-1","issue":"1","issued":{"date-parts":[["2022"]]},"page":"38-58","title":"Validity of zakat ratios as Islamic performance indicators in Islamic banking: a congeneric model and confirmatory factor analysis","type":"article-journal","volume":"14"},"uris":["http://www.mendeley.com/documents/?uuid=a857de48-6ecc-4830-afcb-b82a221cd098","http://www.mendeley.com/documents/?uuid=03a90268-37f7-3e68-bb9b-f7c75780f236"]}],"mendeley":{"formattedCitation":"(Nomran &amp; Haron, 2022)","manualFormatting":"Nomran &amp; Haron, (2022)","plainTextFormattedCitation":"(Nomran &amp; Haron, 2022)","previouslyFormattedCitation":"(Nomran &amp; Haron, 2022)"},"properties":{"noteIndex":0},"schema":"https://github.com/citation-style-language/schema/raw/master/csl-citation.json"}</w:instrText>
      </w:r>
      <w:r w:rsidR="005D0784" w:rsidRPr="00BF5210">
        <w:rPr>
          <w:rFonts w:eastAsia="Calibri Light"/>
          <w:b w:val="0"/>
          <w:bCs w:val="0"/>
          <w:lang w:val="en-US"/>
        </w:rPr>
        <w:fldChar w:fldCharType="separate"/>
      </w:r>
      <w:r w:rsidR="005D0784" w:rsidRPr="00BF5210">
        <w:rPr>
          <w:rFonts w:eastAsia="Calibri Light"/>
          <w:b w:val="0"/>
          <w:bCs w:val="0"/>
          <w:noProof/>
          <w:lang w:val="en-US"/>
        </w:rPr>
        <w:t>Nomran &amp; Haron, (2022)</w:t>
      </w:r>
      <w:r w:rsidR="005D0784" w:rsidRPr="00BF5210">
        <w:rPr>
          <w:rFonts w:eastAsia="Calibri Light"/>
          <w:b w:val="0"/>
          <w:bCs w:val="0"/>
          <w:lang w:val="en-US"/>
        </w:rPr>
        <w:fldChar w:fldCharType="end"/>
      </w:r>
      <w:r w:rsidR="005D0784" w:rsidRPr="00BF5210">
        <w:rPr>
          <w:rFonts w:eastAsia="Calibri Light"/>
          <w:b w:val="0"/>
          <w:bCs w:val="0"/>
          <w:lang w:val="en-US"/>
        </w:rPr>
        <w:t xml:space="preserve"> </w:t>
      </w:r>
      <w:r w:rsidRPr="00BF5210">
        <w:rPr>
          <w:rFonts w:eastAsia="Calibri Light"/>
          <w:b w:val="0"/>
          <w:bCs w:val="0"/>
          <w:lang w:val="en-US"/>
        </w:rPr>
        <w:t>explain that Islamic banks must consider the Zakat performing ratio as a substit</w:t>
      </w:r>
      <w:r w:rsidRPr="009B3DA6">
        <w:rPr>
          <w:rFonts w:eastAsia="Calibri Light"/>
          <w:b w:val="0"/>
          <w:bCs w:val="0"/>
          <w:lang w:val="en-US"/>
        </w:rPr>
        <w:t xml:space="preserve">ute for </w:t>
      </w:r>
      <w:r>
        <w:rPr>
          <w:rFonts w:eastAsia="Calibri Light"/>
          <w:b w:val="0"/>
          <w:bCs w:val="0"/>
          <w:lang w:val="en-US"/>
        </w:rPr>
        <w:t xml:space="preserve">the </w:t>
      </w:r>
      <w:r w:rsidRPr="009B3DA6">
        <w:rPr>
          <w:rFonts w:eastAsia="Calibri Light"/>
          <w:b w:val="0"/>
          <w:bCs w:val="0"/>
          <w:lang w:val="en-US"/>
        </w:rPr>
        <w:t>conventional performance, meaning that bank assets are obtained from net assets in profit in financial statements</w:t>
      </w:r>
      <w:r>
        <w:rPr>
          <w:rFonts w:eastAsia="Calibri Light"/>
          <w:b w:val="0"/>
          <w:bCs w:val="0"/>
          <w:lang w:val="en-US"/>
        </w:rPr>
        <w:t>. Therefore, i</w:t>
      </w:r>
      <w:r w:rsidRPr="009B3DA6">
        <w:rPr>
          <w:rFonts w:eastAsia="Calibri Light"/>
          <w:b w:val="0"/>
          <w:bCs w:val="0"/>
          <w:lang w:val="en-US"/>
        </w:rPr>
        <w:t xml:space="preserve">f assets are high, </w:t>
      </w:r>
      <w:r>
        <w:rPr>
          <w:rFonts w:eastAsia="Calibri Light"/>
          <w:b w:val="0"/>
          <w:bCs w:val="0"/>
          <w:lang w:val="en-US"/>
        </w:rPr>
        <w:t>Z</w:t>
      </w:r>
      <w:r w:rsidRPr="009B3DA6">
        <w:rPr>
          <w:rFonts w:eastAsia="Calibri Light"/>
          <w:b w:val="0"/>
          <w:bCs w:val="0"/>
          <w:lang w:val="en-US"/>
        </w:rPr>
        <w:t xml:space="preserve">akat must also be </w:t>
      </w:r>
      <w:r>
        <w:rPr>
          <w:rFonts w:eastAsia="Calibri Light"/>
          <w:b w:val="0"/>
          <w:bCs w:val="0"/>
          <w:lang w:val="en-US"/>
        </w:rPr>
        <w:t>increased</w:t>
      </w:r>
      <w:r w:rsidRPr="009B3DA6">
        <w:rPr>
          <w:rFonts w:eastAsia="Calibri Light"/>
          <w:b w:val="0"/>
          <w:bCs w:val="0"/>
          <w:lang w:val="en-US"/>
        </w:rPr>
        <w:t>. However, it turns out that this has not been able to materialize in the Islamic banks used as the sample of this study</w:t>
      </w:r>
      <w:r>
        <w:rPr>
          <w:rFonts w:eastAsia="Calibri Light"/>
          <w:b w:val="0"/>
          <w:bCs w:val="0"/>
          <w:lang w:val="en-US"/>
        </w:rPr>
        <w:t>. I</w:t>
      </w:r>
      <w:r w:rsidRPr="009B3DA6">
        <w:rPr>
          <w:rFonts w:eastAsia="Calibri Light"/>
          <w:b w:val="0"/>
          <w:bCs w:val="0"/>
          <w:lang w:val="en-US"/>
        </w:rPr>
        <w:t xml:space="preserve">t can be seen from the value of </w:t>
      </w:r>
      <w:r>
        <w:rPr>
          <w:rFonts w:eastAsia="Calibri Light"/>
          <w:b w:val="0"/>
          <w:bCs w:val="0"/>
          <w:lang w:val="en-US"/>
        </w:rPr>
        <w:t>Z</w:t>
      </w:r>
      <w:r w:rsidRPr="009B3DA6">
        <w:rPr>
          <w:rFonts w:eastAsia="Calibri Light"/>
          <w:b w:val="0"/>
          <w:bCs w:val="0"/>
          <w:lang w:val="en-US"/>
        </w:rPr>
        <w:t>akat</w:t>
      </w:r>
      <w:r>
        <w:rPr>
          <w:rFonts w:eastAsia="Calibri Light"/>
          <w:b w:val="0"/>
          <w:bCs w:val="0"/>
          <w:lang w:val="en-US"/>
        </w:rPr>
        <w:t>,</w:t>
      </w:r>
      <w:r w:rsidRPr="009B3DA6">
        <w:rPr>
          <w:rFonts w:eastAsia="Calibri Light"/>
          <w:b w:val="0"/>
          <w:bCs w:val="0"/>
          <w:lang w:val="en-US"/>
        </w:rPr>
        <w:t xml:space="preserve"> which is only 5.4%, </w:t>
      </w:r>
      <w:r>
        <w:rPr>
          <w:rFonts w:eastAsia="Calibri Light"/>
          <w:b w:val="0"/>
          <w:bCs w:val="0"/>
          <w:lang w:val="en-US"/>
        </w:rPr>
        <w:t xml:space="preserve">that </w:t>
      </w:r>
      <w:r w:rsidRPr="009B3DA6">
        <w:rPr>
          <w:rFonts w:eastAsia="Calibri Light"/>
          <w:b w:val="0"/>
          <w:bCs w:val="0"/>
          <w:lang w:val="en-US"/>
        </w:rPr>
        <w:t>it is not enough to affect the profitability that can be obtained in the current year's profit</w:t>
      </w:r>
      <w:r w:rsidRPr="00BF5210">
        <w:rPr>
          <w:rFonts w:eastAsia="Calibri Light"/>
          <w:b w:val="0"/>
          <w:bCs w:val="0"/>
          <w:lang w:val="en-US"/>
        </w:rPr>
        <w:t xml:space="preserve">. These results align with the research of </w:t>
      </w:r>
      <w:proofErr w:type="spellStart"/>
      <w:r w:rsidRPr="00BF5210">
        <w:rPr>
          <w:rFonts w:eastAsia="Calibri Light"/>
          <w:b w:val="0"/>
          <w:bCs w:val="0"/>
          <w:lang w:val="en-US"/>
        </w:rPr>
        <w:t>Rahmawati</w:t>
      </w:r>
      <w:proofErr w:type="spellEnd"/>
      <w:r w:rsidRPr="00BF5210">
        <w:rPr>
          <w:rFonts w:eastAsia="Calibri Light"/>
          <w:b w:val="0"/>
          <w:bCs w:val="0"/>
          <w:lang w:val="en-US"/>
        </w:rPr>
        <w:t xml:space="preserve"> (2015) and </w:t>
      </w:r>
      <w:proofErr w:type="spellStart"/>
      <w:r w:rsidRPr="00BF5210">
        <w:rPr>
          <w:rFonts w:eastAsia="Calibri Light"/>
          <w:b w:val="0"/>
          <w:bCs w:val="0"/>
          <w:lang w:val="en-US"/>
        </w:rPr>
        <w:t>Nurdin</w:t>
      </w:r>
      <w:proofErr w:type="spellEnd"/>
      <w:r w:rsidRPr="00BF5210">
        <w:rPr>
          <w:rFonts w:eastAsia="Calibri Light"/>
          <w:b w:val="0"/>
          <w:bCs w:val="0"/>
          <w:lang w:val="en-US"/>
        </w:rPr>
        <w:t xml:space="preserve"> &amp; </w:t>
      </w:r>
      <w:proofErr w:type="spellStart"/>
      <w:r w:rsidRPr="00BF5210">
        <w:rPr>
          <w:rFonts w:eastAsia="Calibri Light"/>
          <w:b w:val="0"/>
          <w:bCs w:val="0"/>
          <w:lang w:val="en-US"/>
        </w:rPr>
        <w:t>Suyudi</w:t>
      </w:r>
      <w:proofErr w:type="spellEnd"/>
      <w:r w:rsidRPr="00BF5210">
        <w:rPr>
          <w:rFonts w:eastAsia="Calibri Light"/>
          <w:b w:val="0"/>
          <w:bCs w:val="0"/>
          <w:lang w:val="en-US"/>
        </w:rPr>
        <w:t xml:space="preserve"> (2016), whose results have no effect.</w:t>
      </w:r>
    </w:p>
    <w:p w14:paraId="0D1A2D07" w14:textId="60520B9D" w:rsidR="009B3DA6" w:rsidRPr="009B3DA6" w:rsidRDefault="009B3DA6" w:rsidP="009B3DA6">
      <w:pPr>
        <w:pStyle w:val="I-POINT"/>
        <w:ind w:left="0" w:firstLine="425"/>
        <w:jc w:val="both"/>
        <w:rPr>
          <w:rFonts w:eastAsia="Calibri Light"/>
          <w:b w:val="0"/>
          <w:bCs w:val="0"/>
          <w:lang w:val="en-US"/>
        </w:rPr>
      </w:pPr>
      <w:r w:rsidRPr="00BF5210">
        <w:rPr>
          <w:rFonts w:eastAsia="Calibri Light"/>
          <w:b w:val="0"/>
          <w:bCs w:val="0"/>
          <w:lang w:val="en-US"/>
        </w:rPr>
        <w:t>The test results show that third-party funds cannot moderate the influence of intellectual capital on ROA and ROE. This indicates that intellectual capital is a strategic resource for organizations to achieve firm performance (</w:t>
      </w:r>
      <w:proofErr w:type="spellStart"/>
      <w:r w:rsidRPr="00BF5210">
        <w:rPr>
          <w:rFonts w:eastAsia="Calibri Light"/>
          <w:b w:val="0"/>
          <w:bCs w:val="0"/>
          <w:lang w:val="en-US"/>
        </w:rPr>
        <w:t>Bayraktaroglu</w:t>
      </w:r>
      <w:proofErr w:type="spellEnd"/>
      <w:r w:rsidRPr="00BF5210">
        <w:rPr>
          <w:rFonts w:eastAsia="Calibri Light"/>
          <w:b w:val="0"/>
          <w:bCs w:val="0"/>
          <w:lang w:val="en-US"/>
        </w:rPr>
        <w:t xml:space="preserve"> et al., 2019). So, in achieving superior performance, companies can develop intellectual</w:t>
      </w:r>
      <w:r w:rsidRPr="009B3DA6">
        <w:rPr>
          <w:rFonts w:eastAsia="Calibri Light"/>
          <w:b w:val="0"/>
          <w:bCs w:val="0"/>
          <w:lang w:val="en-US"/>
        </w:rPr>
        <w:t xml:space="preserve"> capital and use it efficiently. However, funds received from the public cannot solve financial problems because of the tendency of </w:t>
      </w:r>
      <w:r>
        <w:rPr>
          <w:rFonts w:eastAsia="Calibri Light"/>
          <w:b w:val="0"/>
          <w:bCs w:val="0"/>
          <w:lang w:val="en-US"/>
        </w:rPr>
        <w:t>the issue</w:t>
      </w:r>
      <w:r w:rsidRPr="009B3DA6">
        <w:rPr>
          <w:rFonts w:eastAsia="Calibri Light"/>
          <w:b w:val="0"/>
          <w:bCs w:val="0"/>
          <w:lang w:val="en-US"/>
        </w:rPr>
        <w:t>s that arise in financing caused by external factors from banks, such as the country's economic conditions.</w:t>
      </w:r>
    </w:p>
    <w:p w14:paraId="68A1C5FB" w14:textId="1F209070" w:rsidR="00660D3E" w:rsidRPr="009B3DA6" w:rsidRDefault="009B3DA6" w:rsidP="009B3DA6">
      <w:pPr>
        <w:pStyle w:val="I-POINT"/>
        <w:ind w:left="0" w:firstLine="425"/>
        <w:jc w:val="both"/>
        <w:rPr>
          <w:rFonts w:eastAsia="Calibri Light"/>
          <w:b w:val="0"/>
          <w:bCs w:val="0"/>
          <w:lang w:val="en-US"/>
        </w:rPr>
      </w:pPr>
      <w:r w:rsidRPr="009B3DA6">
        <w:rPr>
          <w:rFonts w:eastAsia="Calibri Light"/>
          <w:b w:val="0"/>
          <w:bCs w:val="0"/>
          <w:lang w:val="en-US"/>
        </w:rPr>
        <w:t>The test results show that third-party funds cannot moderate the effect of zakat performing ratio on ROA and ROE.</w:t>
      </w:r>
      <w:r>
        <w:rPr>
          <w:rFonts w:eastAsia="Calibri Light"/>
          <w:b w:val="0"/>
          <w:bCs w:val="0"/>
          <w:lang w:val="en-US"/>
        </w:rPr>
        <w:t xml:space="preserve"> As a result,</w:t>
      </w:r>
      <w:r w:rsidRPr="009B3DA6">
        <w:rPr>
          <w:rFonts w:eastAsia="Calibri Light"/>
          <w:b w:val="0"/>
          <w:bCs w:val="0"/>
          <w:lang w:val="en-US"/>
        </w:rPr>
        <w:t xml:space="preserve"> </w:t>
      </w:r>
      <w:r>
        <w:rPr>
          <w:rFonts w:eastAsia="Calibri Light"/>
          <w:b w:val="0"/>
          <w:bCs w:val="0"/>
          <w:lang w:val="en-US"/>
        </w:rPr>
        <w:t>z</w:t>
      </w:r>
      <w:r w:rsidRPr="009B3DA6">
        <w:rPr>
          <w:rFonts w:eastAsia="Calibri Light"/>
          <w:b w:val="0"/>
          <w:bCs w:val="0"/>
          <w:lang w:val="en-US"/>
        </w:rPr>
        <w:t xml:space="preserve">akat performing ratio can provide a positive view for customers </w:t>
      </w:r>
      <w:r>
        <w:rPr>
          <w:rFonts w:eastAsia="Calibri Light"/>
          <w:b w:val="0"/>
          <w:bCs w:val="0"/>
          <w:lang w:val="en-US"/>
        </w:rPr>
        <w:t>to</w:t>
      </w:r>
      <w:r w:rsidRPr="009B3DA6">
        <w:rPr>
          <w:rFonts w:eastAsia="Calibri Light"/>
          <w:b w:val="0"/>
          <w:bCs w:val="0"/>
          <w:lang w:val="en-US"/>
        </w:rPr>
        <w:t xml:space="preserve"> </w:t>
      </w:r>
      <w:r>
        <w:rPr>
          <w:rFonts w:eastAsia="Calibri Light"/>
          <w:b w:val="0"/>
          <w:bCs w:val="0"/>
          <w:lang w:val="en-US"/>
        </w:rPr>
        <w:t>offer</w:t>
      </w:r>
      <w:r w:rsidRPr="009B3DA6">
        <w:rPr>
          <w:rFonts w:eastAsia="Calibri Light"/>
          <w:b w:val="0"/>
          <w:bCs w:val="0"/>
          <w:lang w:val="en-US"/>
        </w:rPr>
        <w:t xml:space="preserve"> good firm performance in Islamic banks. However, third</w:t>
      </w:r>
      <w:r>
        <w:rPr>
          <w:rFonts w:eastAsia="Calibri Light"/>
          <w:b w:val="0"/>
          <w:bCs w:val="0"/>
          <w:lang w:val="en-US"/>
        </w:rPr>
        <w:t>-</w:t>
      </w:r>
      <w:r w:rsidRPr="009B3DA6">
        <w:rPr>
          <w:rFonts w:eastAsia="Calibri Light"/>
          <w:b w:val="0"/>
          <w:bCs w:val="0"/>
          <w:lang w:val="en-US"/>
        </w:rPr>
        <w:t xml:space="preserve">party funds received from customers cannot </w:t>
      </w:r>
      <w:r>
        <w:rPr>
          <w:rFonts w:eastAsia="Calibri Light"/>
          <w:b w:val="0"/>
          <w:bCs w:val="0"/>
          <w:lang w:val="en-US"/>
        </w:rPr>
        <w:t>positively affect</w:t>
      </w:r>
      <w:r w:rsidRPr="009B3DA6">
        <w:rPr>
          <w:rFonts w:eastAsia="Calibri Light"/>
          <w:b w:val="0"/>
          <w:bCs w:val="0"/>
          <w:lang w:val="en-US"/>
        </w:rPr>
        <w:t xml:space="preserve"> the </w:t>
      </w:r>
      <w:r>
        <w:rPr>
          <w:rFonts w:eastAsia="Calibri Light"/>
          <w:b w:val="0"/>
          <w:bCs w:val="0"/>
          <w:lang w:val="en-US"/>
        </w:rPr>
        <w:t>Z</w:t>
      </w:r>
      <w:r w:rsidRPr="009B3DA6">
        <w:rPr>
          <w:rFonts w:eastAsia="Calibri Light"/>
          <w:b w:val="0"/>
          <w:bCs w:val="0"/>
          <w:lang w:val="en-US"/>
        </w:rPr>
        <w:t>akat performing ratio to improve firm performance.</w:t>
      </w:r>
    </w:p>
    <w:p w14:paraId="52370938" w14:textId="3F51CCFD" w:rsidR="00C63058" w:rsidRPr="00B53329" w:rsidRDefault="00625DE8" w:rsidP="00625DE8">
      <w:pPr>
        <w:pStyle w:val="I-POINT"/>
        <w:rPr>
          <w:lang w:val="en-US"/>
        </w:rPr>
      </w:pPr>
      <w:r w:rsidRPr="00625DE8">
        <w:t>Conclusion</w:t>
      </w:r>
      <w:r w:rsidR="00B53329">
        <w:rPr>
          <w:lang w:val="en-US"/>
        </w:rPr>
        <w:t>, Implication</w:t>
      </w:r>
      <w:r w:rsidR="009B3DA6">
        <w:rPr>
          <w:lang w:val="en-US"/>
        </w:rPr>
        <w:t>,</w:t>
      </w:r>
      <w:r w:rsidR="00B53329">
        <w:rPr>
          <w:lang w:val="en-US"/>
        </w:rPr>
        <w:t xml:space="preserve"> and Future Research</w:t>
      </w:r>
    </w:p>
    <w:p w14:paraId="2ABB662D" w14:textId="089AF934" w:rsidR="009B3DA6" w:rsidRPr="009B3DA6" w:rsidRDefault="009B3DA6" w:rsidP="009B3DA6">
      <w:pPr>
        <w:pStyle w:val="I-POINT"/>
        <w:ind w:left="0" w:firstLine="426"/>
        <w:jc w:val="both"/>
        <w:rPr>
          <w:rFonts w:ascii="Cambria" w:hAnsi="Cambria" w:cs="Cambria"/>
          <w:b w:val="0"/>
          <w:bCs w:val="0"/>
          <w:spacing w:val="-8"/>
          <w:sz w:val="22"/>
          <w:szCs w:val="22"/>
          <w:lang w:val="en-US"/>
        </w:rPr>
      </w:pPr>
      <w:r w:rsidRPr="009B3DA6">
        <w:rPr>
          <w:rFonts w:ascii="Cambria" w:hAnsi="Cambria" w:cs="Cambria"/>
          <w:b w:val="0"/>
          <w:bCs w:val="0"/>
          <w:spacing w:val="-8"/>
          <w:sz w:val="22"/>
          <w:szCs w:val="22"/>
          <w:lang w:val="en-US"/>
        </w:rPr>
        <w:t>In this study</w:t>
      </w:r>
      <w:r>
        <w:rPr>
          <w:rFonts w:ascii="Cambria" w:hAnsi="Cambria" w:cs="Cambria"/>
          <w:b w:val="0"/>
          <w:bCs w:val="0"/>
          <w:spacing w:val="-8"/>
          <w:sz w:val="22"/>
          <w:szCs w:val="22"/>
          <w:lang w:val="en-US"/>
        </w:rPr>
        <w:t>,</w:t>
      </w:r>
      <w:r w:rsidRPr="009B3DA6">
        <w:rPr>
          <w:rFonts w:ascii="Cambria" w:hAnsi="Cambria" w:cs="Cambria"/>
          <w:b w:val="0"/>
          <w:bCs w:val="0"/>
          <w:spacing w:val="-8"/>
          <w:sz w:val="22"/>
          <w:szCs w:val="22"/>
          <w:lang w:val="en-US"/>
        </w:rPr>
        <w:t xml:space="preserve"> intellectual capital </w:t>
      </w:r>
      <w:r>
        <w:rPr>
          <w:rFonts w:ascii="Cambria" w:hAnsi="Cambria" w:cs="Cambria"/>
          <w:b w:val="0"/>
          <w:bCs w:val="0"/>
          <w:spacing w:val="-8"/>
          <w:sz w:val="22"/>
          <w:szCs w:val="22"/>
          <w:lang w:val="en-US"/>
        </w:rPr>
        <w:t>positively affects</w:t>
      </w:r>
      <w:r w:rsidRPr="009B3DA6">
        <w:rPr>
          <w:rFonts w:ascii="Cambria" w:hAnsi="Cambria" w:cs="Cambria"/>
          <w:b w:val="0"/>
          <w:bCs w:val="0"/>
          <w:spacing w:val="-8"/>
          <w:sz w:val="22"/>
          <w:szCs w:val="22"/>
          <w:lang w:val="en-US"/>
        </w:rPr>
        <w:t xml:space="preserve"> ROA and ROE. These results indicate that the use of intellectual capital can be a good indicator of success to be invested efficiently in the business and improve the firm performance of Islamic banks in Indonesia. Zakat performing ratio does not show any effect on ROA and ROE. This is because Islamic banks in Indonesia paying </w:t>
      </w:r>
      <w:r>
        <w:rPr>
          <w:rFonts w:ascii="Cambria" w:hAnsi="Cambria" w:cs="Cambria"/>
          <w:b w:val="0"/>
          <w:bCs w:val="0"/>
          <w:spacing w:val="-8"/>
          <w:sz w:val="22"/>
          <w:szCs w:val="22"/>
          <w:lang w:val="en-US"/>
        </w:rPr>
        <w:t>Z</w:t>
      </w:r>
      <w:r w:rsidRPr="009B3DA6">
        <w:rPr>
          <w:rFonts w:ascii="Cambria" w:hAnsi="Cambria" w:cs="Cambria"/>
          <w:b w:val="0"/>
          <w:bCs w:val="0"/>
          <w:spacing w:val="-8"/>
          <w:sz w:val="22"/>
          <w:szCs w:val="22"/>
          <w:lang w:val="en-US"/>
        </w:rPr>
        <w:t xml:space="preserve">akat are still below the percentage of the payment limit, which is 2.5% of the assets that have reached the </w:t>
      </w:r>
      <w:proofErr w:type="spellStart"/>
      <w:r w:rsidRPr="009B3DA6">
        <w:rPr>
          <w:rFonts w:ascii="Cambria" w:hAnsi="Cambria" w:cs="Cambria"/>
          <w:b w:val="0"/>
          <w:bCs w:val="0"/>
          <w:spacing w:val="-8"/>
          <w:sz w:val="22"/>
          <w:szCs w:val="22"/>
          <w:lang w:val="en-US"/>
        </w:rPr>
        <w:t>nishab</w:t>
      </w:r>
      <w:proofErr w:type="spellEnd"/>
      <w:r w:rsidRPr="009B3DA6">
        <w:rPr>
          <w:rFonts w:ascii="Cambria" w:hAnsi="Cambria" w:cs="Cambria"/>
          <w:b w:val="0"/>
          <w:bCs w:val="0"/>
          <w:spacing w:val="-8"/>
          <w:sz w:val="22"/>
          <w:szCs w:val="22"/>
          <w:lang w:val="en-US"/>
        </w:rPr>
        <w:t xml:space="preserve"> and is not in line with the high net assets owned. Third-party funds </w:t>
      </w:r>
      <w:r>
        <w:rPr>
          <w:rFonts w:ascii="Cambria" w:hAnsi="Cambria" w:cs="Cambria"/>
          <w:b w:val="0"/>
          <w:bCs w:val="0"/>
          <w:spacing w:val="-8"/>
          <w:sz w:val="22"/>
          <w:szCs w:val="22"/>
          <w:lang w:val="en-US"/>
        </w:rPr>
        <w:t>cannot</w:t>
      </w:r>
      <w:r w:rsidRPr="009B3DA6">
        <w:rPr>
          <w:rFonts w:ascii="Cambria" w:hAnsi="Cambria" w:cs="Cambria"/>
          <w:b w:val="0"/>
          <w:bCs w:val="0"/>
          <w:spacing w:val="-8"/>
          <w:sz w:val="22"/>
          <w:szCs w:val="22"/>
          <w:lang w:val="en-US"/>
        </w:rPr>
        <w:t xml:space="preserve"> moderate the effect of intellectual capital and </w:t>
      </w:r>
      <w:r>
        <w:rPr>
          <w:rFonts w:ascii="Cambria" w:hAnsi="Cambria" w:cs="Cambria"/>
          <w:b w:val="0"/>
          <w:bCs w:val="0"/>
          <w:spacing w:val="-8"/>
          <w:sz w:val="22"/>
          <w:szCs w:val="22"/>
          <w:lang w:val="en-US"/>
        </w:rPr>
        <w:t>Z</w:t>
      </w:r>
      <w:r w:rsidRPr="009B3DA6">
        <w:rPr>
          <w:rFonts w:ascii="Cambria" w:hAnsi="Cambria" w:cs="Cambria"/>
          <w:b w:val="0"/>
          <w:bCs w:val="0"/>
          <w:spacing w:val="-8"/>
          <w:sz w:val="22"/>
          <w:szCs w:val="22"/>
          <w:lang w:val="en-US"/>
        </w:rPr>
        <w:t xml:space="preserve">akat performing ratio on ROA and ROE. </w:t>
      </w:r>
      <w:r>
        <w:rPr>
          <w:rFonts w:ascii="Cambria" w:hAnsi="Cambria" w:cs="Cambria"/>
          <w:b w:val="0"/>
          <w:bCs w:val="0"/>
          <w:spacing w:val="-8"/>
          <w:sz w:val="22"/>
          <w:szCs w:val="22"/>
          <w:lang w:val="en-US"/>
        </w:rPr>
        <w:t>External funds do not support intellectual capital and Zakat performing ratio in achieving a strategy to improve firm performance. T</w:t>
      </w:r>
      <w:r w:rsidRPr="009B3DA6">
        <w:rPr>
          <w:rFonts w:ascii="Cambria" w:hAnsi="Cambria" w:cs="Cambria"/>
          <w:b w:val="0"/>
          <w:bCs w:val="0"/>
          <w:spacing w:val="-8"/>
          <w:sz w:val="22"/>
          <w:szCs w:val="22"/>
          <w:lang w:val="en-US"/>
        </w:rPr>
        <w:t xml:space="preserve">his is because </w:t>
      </w:r>
      <w:r>
        <w:rPr>
          <w:rFonts w:ascii="Cambria" w:hAnsi="Cambria" w:cs="Cambria"/>
          <w:b w:val="0"/>
          <w:bCs w:val="0"/>
          <w:spacing w:val="-8"/>
          <w:sz w:val="22"/>
          <w:szCs w:val="22"/>
          <w:lang w:val="en-US"/>
        </w:rPr>
        <w:t>several internal factors (such as leverage, company size, and others) can</w:t>
      </w:r>
      <w:r w:rsidRPr="009B3DA6">
        <w:rPr>
          <w:rFonts w:ascii="Cambria" w:hAnsi="Cambria" w:cs="Cambria"/>
          <w:b w:val="0"/>
          <w:bCs w:val="0"/>
          <w:spacing w:val="-8"/>
          <w:sz w:val="22"/>
          <w:szCs w:val="22"/>
          <w:lang w:val="en-US"/>
        </w:rPr>
        <w:t xml:space="preserve"> support intellectual capital and </w:t>
      </w:r>
      <w:r>
        <w:rPr>
          <w:rFonts w:ascii="Cambria" w:hAnsi="Cambria" w:cs="Cambria"/>
          <w:b w:val="0"/>
          <w:bCs w:val="0"/>
          <w:spacing w:val="-8"/>
          <w:sz w:val="22"/>
          <w:szCs w:val="22"/>
          <w:lang w:val="en-US"/>
        </w:rPr>
        <w:t>Z</w:t>
      </w:r>
      <w:r w:rsidRPr="009B3DA6">
        <w:rPr>
          <w:rFonts w:ascii="Cambria" w:hAnsi="Cambria" w:cs="Cambria"/>
          <w:b w:val="0"/>
          <w:bCs w:val="0"/>
          <w:spacing w:val="-8"/>
          <w:sz w:val="22"/>
          <w:szCs w:val="22"/>
          <w:lang w:val="en-US"/>
        </w:rPr>
        <w:t>akat performing ratio in increasing firm performance.</w:t>
      </w:r>
    </w:p>
    <w:p w14:paraId="724BA6A2" w14:textId="719D4DF8" w:rsidR="009B3DA6" w:rsidRPr="009B3DA6" w:rsidRDefault="009B3DA6" w:rsidP="009B3DA6">
      <w:pPr>
        <w:pStyle w:val="I-POINT"/>
        <w:ind w:left="0" w:firstLine="426"/>
        <w:jc w:val="both"/>
        <w:rPr>
          <w:rFonts w:ascii="Cambria" w:hAnsi="Cambria" w:cs="Cambria"/>
          <w:b w:val="0"/>
          <w:bCs w:val="0"/>
          <w:spacing w:val="-8"/>
          <w:sz w:val="22"/>
          <w:szCs w:val="22"/>
          <w:lang w:val="en-US"/>
        </w:rPr>
      </w:pPr>
      <w:r w:rsidRPr="009B3DA6">
        <w:rPr>
          <w:rFonts w:ascii="Cambria" w:hAnsi="Cambria" w:cs="Cambria"/>
          <w:b w:val="0"/>
          <w:bCs w:val="0"/>
          <w:spacing w:val="-8"/>
          <w:sz w:val="22"/>
          <w:szCs w:val="22"/>
          <w:lang w:val="en-US"/>
        </w:rPr>
        <w:t>Th</w:t>
      </w:r>
      <w:r>
        <w:rPr>
          <w:rFonts w:ascii="Cambria" w:hAnsi="Cambria" w:cs="Cambria"/>
          <w:b w:val="0"/>
          <w:bCs w:val="0"/>
          <w:spacing w:val="-8"/>
          <w:sz w:val="22"/>
          <w:szCs w:val="22"/>
          <w:lang w:val="en-US"/>
        </w:rPr>
        <w:t>is research implie</w:t>
      </w:r>
      <w:r w:rsidRPr="009B3DA6">
        <w:rPr>
          <w:rFonts w:ascii="Cambria" w:hAnsi="Cambria" w:cs="Cambria"/>
          <w:b w:val="0"/>
          <w:bCs w:val="0"/>
          <w:spacing w:val="-8"/>
          <w:sz w:val="22"/>
          <w:szCs w:val="22"/>
          <w:lang w:val="en-US"/>
        </w:rPr>
        <w:t>s that in improving the firm performance of Islamic banks in Indonesia, it is necessary to pay attention to intellectual capital to become their business strategy. And consider internal and external factors in their business strategy.</w:t>
      </w:r>
    </w:p>
    <w:p w14:paraId="22397784" w14:textId="30516619" w:rsidR="009B3DA6" w:rsidRDefault="009B3DA6" w:rsidP="009B3DA6">
      <w:pPr>
        <w:pStyle w:val="I-POINT"/>
        <w:ind w:left="0" w:firstLine="426"/>
        <w:jc w:val="both"/>
        <w:rPr>
          <w:rFonts w:ascii="Cambria" w:hAnsi="Cambria" w:cs="Cambria"/>
          <w:b w:val="0"/>
          <w:bCs w:val="0"/>
          <w:spacing w:val="-8"/>
          <w:sz w:val="22"/>
          <w:szCs w:val="22"/>
          <w:lang w:val="en-US"/>
        </w:rPr>
      </w:pPr>
      <w:r w:rsidRPr="009B3DA6">
        <w:rPr>
          <w:rFonts w:ascii="Cambria" w:hAnsi="Cambria" w:cs="Cambria"/>
          <w:b w:val="0"/>
          <w:bCs w:val="0"/>
          <w:spacing w:val="-8"/>
          <w:sz w:val="22"/>
          <w:szCs w:val="22"/>
          <w:lang w:val="en-US"/>
        </w:rPr>
        <w:t xml:space="preserve">For further research, it is necessary to use other factors that can improve firm performance, such as car adequacy ratio, profit sharing ratio, </w:t>
      </w:r>
      <w:proofErr w:type="spellStart"/>
      <w:r w:rsidRPr="009B3DA6">
        <w:rPr>
          <w:rFonts w:ascii="Cambria" w:hAnsi="Cambria" w:cs="Cambria"/>
          <w:b w:val="0"/>
          <w:bCs w:val="0"/>
          <w:spacing w:val="-8"/>
          <w:sz w:val="22"/>
          <w:szCs w:val="22"/>
          <w:lang w:val="en-US"/>
        </w:rPr>
        <w:t>Islamity</w:t>
      </w:r>
      <w:proofErr w:type="spellEnd"/>
      <w:r w:rsidRPr="009B3DA6">
        <w:rPr>
          <w:rFonts w:ascii="Cambria" w:hAnsi="Cambria" w:cs="Cambria"/>
          <w:b w:val="0"/>
          <w:bCs w:val="0"/>
          <w:spacing w:val="-8"/>
          <w:sz w:val="22"/>
          <w:szCs w:val="22"/>
          <w:lang w:val="en-US"/>
        </w:rPr>
        <w:t xml:space="preserve"> performance</w:t>
      </w:r>
      <w:r>
        <w:rPr>
          <w:rFonts w:ascii="Cambria" w:hAnsi="Cambria" w:cs="Cambria"/>
          <w:b w:val="0"/>
          <w:bCs w:val="0"/>
          <w:spacing w:val="-8"/>
          <w:sz w:val="22"/>
          <w:szCs w:val="22"/>
          <w:lang w:val="en-US"/>
        </w:rPr>
        <w:t>, etc</w:t>
      </w:r>
      <w:r w:rsidRPr="009B3DA6">
        <w:rPr>
          <w:rFonts w:ascii="Cambria" w:hAnsi="Cambria" w:cs="Cambria"/>
          <w:b w:val="0"/>
          <w:bCs w:val="0"/>
          <w:spacing w:val="-8"/>
          <w:sz w:val="22"/>
          <w:szCs w:val="22"/>
          <w:lang w:val="en-US"/>
        </w:rPr>
        <w:t>. Furthermore, addi</w:t>
      </w:r>
      <w:r>
        <w:rPr>
          <w:rFonts w:ascii="Cambria" w:hAnsi="Cambria" w:cs="Cambria"/>
          <w:b w:val="0"/>
          <w:bCs w:val="0"/>
          <w:spacing w:val="-8"/>
          <w:sz w:val="22"/>
          <w:szCs w:val="22"/>
          <w:lang w:val="en-US"/>
        </w:rPr>
        <w:t>tional</w:t>
      </w:r>
      <w:r w:rsidRPr="009B3DA6">
        <w:rPr>
          <w:rFonts w:ascii="Cambria" w:hAnsi="Cambria" w:cs="Cambria"/>
          <w:b w:val="0"/>
          <w:bCs w:val="0"/>
          <w:spacing w:val="-8"/>
          <w:sz w:val="22"/>
          <w:szCs w:val="22"/>
          <w:lang w:val="en-US"/>
        </w:rPr>
        <w:t xml:space="preserve"> contingent variables such as mediation and moderation resolve the gaps </w:t>
      </w:r>
      <w:r>
        <w:rPr>
          <w:rFonts w:ascii="Cambria" w:hAnsi="Cambria" w:cs="Cambria"/>
          <w:b w:val="0"/>
          <w:bCs w:val="0"/>
          <w:spacing w:val="-8"/>
          <w:sz w:val="22"/>
          <w:szCs w:val="22"/>
          <w:lang w:val="en-US"/>
        </w:rPr>
        <w:t>in</w:t>
      </w:r>
      <w:r w:rsidRPr="009B3DA6">
        <w:rPr>
          <w:rFonts w:ascii="Cambria" w:hAnsi="Cambria" w:cs="Cambria"/>
          <w:b w:val="0"/>
          <w:bCs w:val="0"/>
          <w:spacing w:val="-8"/>
          <w:sz w:val="22"/>
          <w:szCs w:val="22"/>
          <w:lang w:val="en-US"/>
        </w:rPr>
        <w:t xml:space="preserve"> previous research.</w:t>
      </w:r>
    </w:p>
    <w:p w14:paraId="7EE5F33A" w14:textId="127B60B3" w:rsidR="00C63058" w:rsidRDefault="00625DE8" w:rsidP="009B3DA6">
      <w:pPr>
        <w:pStyle w:val="I-POINT"/>
      </w:pPr>
      <w:r w:rsidRPr="00173D33">
        <w:t>References</w:t>
      </w:r>
    </w:p>
    <w:p w14:paraId="22709A01" w14:textId="1ED5732E" w:rsidR="00EC7903" w:rsidRPr="00EC7903" w:rsidRDefault="001778D5" w:rsidP="00EB4EB8">
      <w:pPr>
        <w:widowControl w:val="0"/>
        <w:autoSpaceDE w:val="0"/>
        <w:autoSpaceDN w:val="0"/>
        <w:adjustRightInd w:val="0"/>
        <w:spacing w:before="180" w:after="80" w:line="240" w:lineRule="exact"/>
        <w:ind w:left="480" w:hanging="480"/>
        <w:jc w:val="both"/>
        <w:rPr>
          <w:rFonts w:cs="Calibri"/>
          <w:noProof/>
          <w:sz w:val="24"/>
          <w:szCs w:val="24"/>
        </w:rPr>
      </w:pPr>
      <w:r>
        <w:fldChar w:fldCharType="begin" w:fldLock="1"/>
      </w:r>
      <w:r>
        <w:instrText xml:space="preserve">ADDIN Mendeley Bibliography CSL_BIBLIOGRAPHY </w:instrText>
      </w:r>
      <w:r>
        <w:fldChar w:fldCharType="separate"/>
      </w:r>
      <w:r w:rsidR="00EC7903" w:rsidRPr="00EC7903">
        <w:rPr>
          <w:rFonts w:cs="Calibri"/>
          <w:noProof/>
          <w:sz w:val="24"/>
          <w:szCs w:val="24"/>
        </w:rPr>
        <w:t xml:space="preserve">Al-Homaidi, E. A., Tabash, M. I., &amp; Ahmad, A. (2020). The profitability of islamic banks and voluntary disclosure: empirical insights from Yemen. </w:t>
      </w:r>
      <w:r w:rsidR="00EC7903" w:rsidRPr="00EC7903">
        <w:rPr>
          <w:rFonts w:cs="Calibri"/>
          <w:i/>
          <w:iCs/>
          <w:noProof/>
          <w:sz w:val="24"/>
          <w:szCs w:val="24"/>
        </w:rPr>
        <w:t>Cogent Economics and Finance</w:t>
      </w:r>
      <w:r w:rsidR="00EC7903" w:rsidRPr="00EC7903">
        <w:rPr>
          <w:rFonts w:cs="Calibri"/>
          <w:noProof/>
          <w:sz w:val="24"/>
          <w:szCs w:val="24"/>
        </w:rPr>
        <w:t xml:space="preserve">, </w:t>
      </w:r>
      <w:r w:rsidR="00EC7903" w:rsidRPr="00EC7903">
        <w:rPr>
          <w:rFonts w:cs="Calibri"/>
          <w:i/>
          <w:iCs/>
          <w:noProof/>
          <w:sz w:val="24"/>
          <w:szCs w:val="24"/>
        </w:rPr>
        <w:t>8</w:t>
      </w:r>
      <w:r w:rsidR="00EC7903" w:rsidRPr="00EC7903">
        <w:rPr>
          <w:rFonts w:cs="Calibri"/>
          <w:noProof/>
          <w:sz w:val="24"/>
          <w:szCs w:val="24"/>
        </w:rPr>
        <w:t>(1). https://doi.org/10.1080/23322039.2020.1778406</w:t>
      </w:r>
    </w:p>
    <w:p w14:paraId="54D0CF6F"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Al-Htaybat, K., Hutaibat, K., &amp; von Alberti-Alhtaybat, L. (2019). Global brain-reflective accounting practices. </w:t>
      </w:r>
      <w:r w:rsidRPr="00EC7903">
        <w:rPr>
          <w:rFonts w:cs="Calibri"/>
          <w:i/>
          <w:iCs/>
          <w:noProof/>
          <w:sz w:val="24"/>
          <w:szCs w:val="24"/>
        </w:rPr>
        <w:t>Journal of Intellectual Capital</w:t>
      </w:r>
      <w:r w:rsidRPr="00EC7903">
        <w:rPr>
          <w:rFonts w:cs="Calibri"/>
          <w:noProof/>
          <w:sz w:val="24"/>
          <w:szCs w:val="24"/>
        </w:rPr>
        <w:t xml:space="preserve">, </w:t>
      </w:r>
      <w:r w:rsidRPr="00EC7903">
        <w:rPr>
          <w:rFonts w:cs="Calibri"/>
          <w:i/>
          <w:iCs/>
          <w:noProof/>
          <w:sz w:val="24"/>
          <w:szCs w:val="24"/>
        </w:rPr>
        <w:t>20</w:t>
      </w:r>
      <w:r w:rsidRPr="00EC7903">
        <w:rPr>
          <w:rFonts w:cs="Calibri"/>
          <w:noProof/>
          <w:sz w:val="24"/>
          <w:szCs w:val="24"/>
        </w:rPr>
        <w:t>(6), 733–762. https://doi.org/10.1108/JIC-01-2019-0016</w:t>
      </w:r>
    </w:p>
    <w:p w14:paraId="69B2C291"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Alamad, S. (2019). Financial and Accounting Principles in Islamic Finance. </w:t>
      </w:r>
      <w:r w:rsidRPr="00EC7903">
        <w:rPr>
          <w:rFonts w:cs="Calibri"/>
          <w:i/>
          <w:iCs/>
          <w:noProof/>
          <w:sz w:val="24"/>
          <w:szCs w:val="24"/>
        </w:rPr>
        <w:t>Financial and Accounting Principles in Islamic Finance</w:t>
      </w:r>
      <w:r w:rsidRPr="00EC7903">
        <w:rPr>
          <w:rFonts w:cs="Calibri"/>
          <w:noProof/>
          <w:sz w:val="24"/>
          <w:szCs w:val="24"/>
        </w:rPr>
        <w:t>, 49–73. https://doi.org/10.1007/978-3-030-16299-3</w:t>
      </w:r>
    </w:p>
    <w:p w14:paraId="09DF2E70"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Anggari, N. L. S., &amp; Dana, I. M. (2020). The Effect of Capital Adequacy Ratio, Third Party Funds, Loan to Deposit Ratio, Bank Size on Profitability in Banking Companies on IDX. </w:t>
      </w:r>
      <w:r w:rsidRPr="00EC7903">
        <w:rPr>
          <w:rFonts w:cs="Calibri"/>
          <w:i/>
          <w:iCs/>
          <w:noProof/>
          <w:sz w:val="24"/>
          <w:szCs w:val="24"/>
        </w:rPr>
        <w:t>American Journal of Humanities and Social Sciences Research (AJHSSR)</w:t>
      </w:r>
      <w:r w:rsidRPr="00EC7903">
        <w:rPr>
          <w:rFonts w:cs="Calibri"/>
          <w:noProof/>
          <w:sz w:val="24"/>
          <w:szCs w:val="24"/>
        </w:rPr>
        <w:t xml:space="preserve">, </w:t>
      </w:r>
      <w:r w:rsidRPr="00EC7903">
        <w:rPr>
          <w:rFonts w:cs="Calibri"/>
          <w:i/>
          <w:iCs/>
          <w:noProof/>
          <w:sz w:val="24"/>
          <w:szCs w:val="24"/>
        </w:rPr>
        <w:t>4</w:t>
      </w:r>
      <w:r w:rsidRPr="00EC7903">
        <w:rPr>
          <w:rFonts w:cs="Calibri"/>
          <w:noProof/>
          <w:sz w:val="24"/>
          <w:szCs w:val="24"/>
        </w:rPr>
        <w:t>(12), 334–338.</w:t>
      </w:r>
    </w:p>
    <w:p w14:paraId="52053888"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Bayraktaroglu, A. E., Calisir, F., &amp; Baskak, M. (2019). Intellectual capital and firm performance: an extended VAIC model. </w:t>
      </w:r>
      <w:r w:rsidRPr="00EC7903">
        <w:rPr>
          <w:rFonts w:cs="Calibri"/>
          <w:i/>
          <w:iCs/>
          <w:noProof/>
          <w:sz w:val="24"/>
          <w:szCs w:val="24"/>
        </w:rPr>
        <w:t>Journal of Intellectual Capital</w:t>
      </w:r>
      <w:r w:rsidRPr="00EC7903">
        <w:rPr>
          <w:rFonts w:cs="Calibri"/>
          <w:noProof/>
          <w:sz w:val="24"/>
          <w:szCs w:val="24"/>
        </w:rPr>
        <w:t xml:space="preserve">, </w:t>
      </w:r>
      <w:r w:rsidRPr="00EC7903">
        <w:rPr>
          <w:rFonts w:cs="Calibri"/>
          <w:i/>
          <w:iCs/>
          <w:noProof/>
          <w:sz w:val="24"/>
          <w:szCs w:val="24"/>
        </w:rPr>
        <w:t>20</w:t>
      </w:r>
      <w:r w:rsidRPr="00EC7903">
        <w:rPr>
          <w:rFonts w:cs="Calibri"/>
          <w:noProof/>
          <w:sz w:val="24"/>
          <w:szCs w:val="24"/>
        </w:rPr>
        <w:t>(3), 406–425. https://doi.org/10.1108/JIC-12-2017-0184</w:t>
      </w:r>
    </w:p>
    <w:p w14:paraId="2D569BF0"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Ben Bouheni, F., Obeid, H., &amp; Margarint, E. (2021). Nonperforming loan of European Islamic banks over the economic cycle. In </w:t>
      </w:r>
      <w:r w:rsidRPr="00EC7903">
        <w:rPr>
          <w:rFonts w:cs="Calibri"/>
          <w:i/>
          <w:iCs/>
          <w:noProof/>
          <w:sz w:val="24"/>
          <w:szCs w:val="24"/>
        </w:rPr>
        <w:t>Annals of Operations Research</w:t>
      </w:r>
      <w:r w:rsidRPr="00EC7903">
        <w:rPr>
          <w:rFonts w:cs="Calibri"/>
          <w:noProof/>
          <w:sz w:val="24"/>
          <w:szCs w:val="24"/>
        </w:rPr>
        <w:t xml:space="preserve"> (Issue 0123456789). Springer US. https://doi.org/10.1007/s10479-021-04038-8</w:t>
      </w:r>
    </w:p>
    <w:p w14:paraId="6EA91A8E"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Birindelli, G., Ferretti, P., &amp; Chiappini, H. (2019). </w:t>
      </w:r>
      <w:r w:rsidRPr="00EC7903">
        <w:rPr>
          <w:rFonts w:cs="Calibri"/>
          <w:i/>
          <w:iCs/>
          <w:noProof/>
          <w:sz w:val="24"/>
          <w:szCs w:val="24"/>
        </w:rPr>
        <w:t>Intellectual Capital Disclosure: Evidence from the Italian Systemically Important Banks BT  - Socially Responsible Investments: The Crossroads Between Institutional and Retail Investors</w:t>
      </w:r>
      <w:r w:rsidRPr="00EC7903">
        <w:rPr>
          <w:rFonts w:cs="Calibri"/>
          <w:noProof/>
          <w:sz w:val="24"/>
          <w:szCs w:val="24"/>
        </w:rPr>
        <w:t xml:space="preserve"> (M. La Torre &amp; H. Chiappini (eds.); pp. 37–59). Springer International Publishing. https://doi.org/10.1007/978-3-030-05014-6_3</w:t>
      </w:r>
    </w:p>
    <w:p w14:paraId="686CA7A7"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Bossone, B. (2021). Commercial bank seigniorage and the macroeconomy. </w:t>
      </w:r>
      <w:r w:rsidRPr="00EC7903">
        <w:rPr>
          <w:rFonts w:cs="Calibri"/>
          <w:i/>
          <w:iCs/>
          <w:noProof/>
          <w:sz w:val="24"/>
          <w:szCs w:val="24"/>
        </w:rPr>
        <w:t>International Review of Financial Analysis</w:t>
      </w:r>
      <w:r w:rsidRPr="00EC7903">
        <w:rPr>
          <w:rFonts w:cs="Calibri"/>
          <w:noProof/>
          <w:sz w:val="24"/>
          <w:szCs w:val="24"/>
        </w:rPr>
        <w:t xml:space="preserve">, </w:t>
      </w:r>
      <w:r w:rsidRPr="00EC7903">
        <w:rPr>
          <w:rFonts w:cs="Calibri"/>
          <w:i/>
          <w:iCs/>
          <w:noProof/>
          <w:sz w:val="24"/>
          <w:szCs w:val="24"/>
        </w:rPr>
        <w:t>76</w:t>
      </w:r>
      <w:r w:rsidRPr="00EC7903">
        <w:rPr>
          <w:rFonts w:cs="Calibri"/>
          <w:noProof/>
          <w:sz w:val="24"/>
          <w:szCs w:val="24"/>
        </w:rPr>
        <w:t>, 101775. https://doi.org/https://doi.org/10.1016/j.irfa.2021.101775</w:t>
      </w:r>
    </w:p>
    <w:p w14:paraId="2B68AB6E"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Chowdhury, L. A. M., Rana, T., &amp; Azim, M. I. (2019). Intellectual capital efficiency and organisational performance: In the context of the pharmaceutical industry in Bangladesh. </w:t>
      </w:r>
      <w:r w:rsidRPr="00EC7903">
        <w:rPr>
          <w:rFonts w:cs="Calibri"/>
          <w:i/>
          <w:iCs/>
          <w:noProof/>
          <w:sz w:val="24"/>
          <w:szCs w:val="24"/>
        </w:rPr>
        <w:t>Journal of Intellectual Capital</w:t>
      </w:r>
      <w:r w:rsidRPr="00EC7903">
        <w:rPr>
          <w:rFonts w:cs="Calibri"/>
          <w:noProof/>
          <w:sz w:val="24"/>
          <w:szCs w:val="24"/>
        </w:rPr>
        <w:t xml:space="preserve">, </w:t>
      </w:r>
      <w:r w:rsidRPr="00EC7903">
        <w:rPr>
          <w:rFonts w:cs="Calibri"/>
          <w:i/>
          <w:iCs/>
          <w:noProof/>
          <w:sz w:val="24"/>
          <w:szCs w:val="24"/>
        </w:rPr>
        <w:t>20</w:t>
      </w:r>
      <w:r w:rsidRPr="00EC7903">
        <w:rPr>
          <w:rFonts w:cs="Calibri"/>
          <w:noProof/>
          <w:sz w:val="24"/>
          <w:szCs w:val="24"/>
        </w:rPr>
        <w:t>(6), 784–806. https://doi.org/10.1108/JIC-10-2018-0171</w:t>
      </w:r>
    </w:p>
    <w:p w14:paraId="698554CE"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Cornell, B., &amp; Damodaran, A. (2020).  Valuing ESG: Doing Good or Sounding Good? . </w:t>
      </w:r>
      <w:r w:rsidRPr="00EC7903">
        <w:rPr>
          <w:rFonts w:cs="Calibri"/>
          <w:i/>
          <w:iCs/>
          <w:noProof/>
          <w:sz w:val="24"/>
          <w:szCs w:val="24"/>
        </w:rPr>
        <w:t>The Journal of Impact and ESG Investing</w:t>
      </w:r>
      <w:r w:rsidRPr="00EC7903">
        <w:rPr>
          <w:rFonts w:cs="Calibri"/>
          <w:noProof/>
          <w:sz w:val="24"/>
          <w:szCs w:val="24"/>
        </w:rPr>
        <w:t xml:space="preserve">, </w:t>
      </w:r>
      <w:r w:rsidRPr="00EC7903">
        <w:rPr>
          <w:rFonts w:cs="Calibri"/>
          <w:i/>
          <w:iCs/>
          <w:noProof/>
          <w:sz w:val="24"/>
          <w:szCs w:val="24"/>
        </w:rPr>
        <w:t>1</w:t>
      </w:r>
      <w:r w:rsidRPr="00EC7903">
        <w:rPr>
          <w:rFonts w:cs="Calibri"/>
          <w:noProof/>
          <w:sz w:val="24"/>
          <w:szCs w:val="24"/>
        </w:rPr>
        <w:t>(1), 76–93. https://doi.org/10.3905/jesg.2020.1.1.076</w:t>
      </w:r>
    </w:p>
    <w:p w14:paraId="3B13455E"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Dalwai, T., &amp; Salehi, M. (2021). Business strategy, intellectual capital, firm performance, and bankruptcy risk: evidence from Oman’s non-financial sector companies. </w:t>
      </w:r>
      <w:r w:rsidRPr="00EC7903">
        <w:rPr>
          <w:rFonts w:cs="Calibri"/>
          <w:i/>
          <w:iCs/>
          <w:noProof/>
          <w:sz w:val="24"/>
          <w:szCs w:val="24"/>
        </w:rPr>
        <w:t>Asian Review of Accounting</w:t>
      </w:r>
      <w:r w:rsidRPr="00EC7903">
        <w:rPr>
          <w:rFonts w:cs="Calibri"/>
          <w:noProof/>
          <w:sz w:val="24"/>
          <w:szCs w:val="24"/>
        </w:rPr>
        <w:t xml:space="preserve">, </w:t>
      </w:r>
      <w:r w:rsidRPr="00EC7903">
        <w:rPr>
          <w:rFonts w:cs="Calibri"/>
          <w:i/>
          <w:iCs/>
          <w:noProof/>
          <w:sz w:val="24"/>
          <w:szCs w:val="24"/>
        </w:rPr>
        <w:t>29</w:t>
      </w:r>
      <w:r w:rsidRPr="00EC7903">
        <w:rPr>
          <w:rFonts w:cs="Calibri"/>
          <w:noProof/>
          <w:sz w:val="24"/>
          <w:szCs w:val="24"/>
        </w:rPr>
        <w:t>(3), 474–504. https://doi.org/10.1108/ARA-01-2021-0008</w:t>
      </w:r>
    </w:p>
    <w:p w14:paraId="6D58FB84"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Dang, H. N., Vu, V. T. T., Ngo, X. T., &amp; Hoang, H. T. V. (2019). Study the Impact of Growth, Firm Size, Capital Structure, and Profitability on Enterprise Value: Evidence of Enterprises in Vietnam. </w:t>
      </w:r>
      <w:r w:rsidRPr="00EC7903">
        <w:rPr>
          <w:rFonts w:cs="Calibri"/>
          <w:i/>
          <w:iCs/>
          <w:noProof/>
          <w:sz w:val="24"/>
          <w:szCs w:val="24"/>
        </w:rPr>
        <w:t>Journal of Corporate Accounting &amp; Finance</w:t>
      </w:r>
      <w:r w:rsidRPr="00EC7903">
        <w:rPr>
          <w:rFonts w:cs="Calibri"/>
          <w:noProof/>
          <w:sz w:val="24"/>
          <w:szCs w:val="24"/>
        </w:rPr>
        <w:t xml:space="preserve">, </w:t>
      </w:r>
      <w:r w:rsidRPr="00EC7903">
        <w:rPr>
          <w:rFonts w:cs="Calibri"/>
          <w:i/>
          <w:iCs/>
          <w:noProof/>
          <w:sz w:val="24"/>
          <w:szCs w:val="24"/>
        </w:rPr>
        <w:t>30</w:t>
      </w:r>
      <w:r w:rsidRPr="00EC7903">
        <w:rPr>
          <w:rFonts w:cs="Calibri"/>
          <w:noProof/>
          <w:sz w:val="24"/>
          <w:szCs w:val="24"/>
        </w:rPr>
        <w:t>(1), 144–160. https://doi.org/https://doi.org/10.1002/jcaf.22371</w:t>
      </w:r>
    </w:p>
    <w:p w14:paraId="09B5E507"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Fidiana, F. (2020). Compliance behaviour from the holistic human nature perspective. </w:t>
      </w:r>
      <w:r w:rsidRPr="00EC7903">
        <w:rPr>
          <w:rFonts w:cs="Calibri"/>
          <w:i/>
          <w:iCs/>
          <w:noProof/>
          <w:sz w:val="24"/>
          <w:szCs w:val="24"/>
        </w:rPr>
        <w:t>Journal of Islamic Accounting and Business Research</w:t>
      </w:r>
      <w:r w:rsidRPr="00EC7903">
        <w:rPr>
          <w:rFonts w:cs="Calibri"/>
          <w:noProof/>
          <w:sz w:val="24"/>
          <w:szCs w:val="24"/>
        </w:rPr>
        <w:t xml:space="preserve">, </w:t>
      </w:r>
      <w:r w:rsidRPr="00EC7903">
        <w:rPr>
          <w:rFonts w:cs="Calibri"/>
          <w:i/>
          <w:iCs/>
          <w:noProof/>
          <w:sz w:val="24"/>
          <w:szCs w:val="24"/>
        </w:rPr>
        <w:t>11</w:t>
      </w:r>
      <w:r w:rsidRPr="00EC7903">
        <w:rPr>
          <w:rFonts w:cs="Calibri"/>
          <w:noProof/>
          <w:sz w:val="24"/>
          <w:szCs w:val="24"/>
        </w:rPr>
        <w:t>(5), 1145–1158. https://doi.org/10.1108/JIABR-11-2016-0142</w:t>
      </w:r>
    </w:p>
    <w:p w14:paraId="221FEA94"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García Castro, J. P., Duque Ramírez, D. F., &amp; Moscoso Escobar, J. (2021). The relationship between intellectual capital and financial performance in Colombian listed banking entities. </w:t>
      </w:r>
      <w:r w:rsidRPr="00EC7903">
        <w:rPr>
          <w:rFonts w:cs="Calibri"/>
          <w:i/>
          <w:iCs/>
          <w:noProof/>
          <w:sz w:val="24"/>
          <w:szCs w:val="24"/>
        </w:rPr>
        <w:t>Asia Pacific Management Review</w:t>
      </w:r>
      <w:r w:rsidRPr="00EC7903">
        <w:rPr>
          <w:rFonts w:cs="Calibri"/>
          <w:noProof/>
          <w:sz w:val="24"/>
          <w:szCs w:val="24"/>
        </w:rPr>
        <w:t xml:space="preserve">, </w:t>
      </w:r>
      <w:r w:rsidRPr="00EC7903">
        <w:rPr>
          <w:rFonts w:cs="Calibri"/>
          <w:i/>
          <w:iCs/>
          <w:noProof/>
          <w:sz w:val="24"/>
          <w:szCs w:val="24"/>
        </w:rPr>
        <w:t>26</w:t>
      </w:r>
      <w:r w:rsidRPr="00EC7903">
        <w:rPr>
          <w:rFonts w:cs="Calibri"/>
          <w:noProof/>
          <w:sz w:val="24"/>
          <w:szCs w:val="24"/>
        </w:rPr>
        <w:t>(4), 237–247. https://doi.org/10.1016/j.apmrv.2021.03.002</w:t>
      </w:r>
    </w:p>
    <w:p w14:paraId="3D76E99C"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Hermuningsih, S. (2019). Third Party Funds and Indonesia ’ s Sharia Banking Profitability with Revenue Sharing as Intervening Variable. </w:t>
      </w:r>
      <w:r w:rsidRPr="00EC7903">
        <w:rPr>
          <w:rFonts w:cs="Calibri"/>
          <w:i/>
          <w:iCs/>
          <w:noProof/>
          <w:sz w:val="24"/>
          <w:szCs w:val="24"/>
        </w:rPr>
        <w:t>East African Scholars Journal of Economics, Business and Management</w:t>
      </w:r>
      <w:r w:rsidRPr="00EC7903">
        <w:rPr>
          <w:rFonts w:cs="Calibri"/>
          <w:noProof/>
          <w:sz w:val="24"/>
          <w:szCs w:val="24"/>
        </w:rPr>
        <w:t xml:space="preserve">, </w:t>
      </w:r>
      <w:r w:rsidRPr="00EC7903">
        <w:rPr>
          <w:rFonts w:cs="Calibri"/>
          <w:i/>
          <w:iCs/>
          <w:noProof/>
          <w:sz w:val="24"/>
          <w:szCs w:val="24"/>
        </w:rPr>
        <w:t>2</w:t>
      </w:r>
      <w:r w:rsidRPr="00EC7903">
        <w:rPr>
          <w:rFonts w:cs="Calibri"/>
          <w:noProof/>
          <w:sz w:val="24"/>
          <w:szCs w:val="24"/>
        </w:rPr>
        <w:t>(4 (April)), 242–251. https://doi.org/10.36349/easjebm.2019.v02i04.010</w:t>
      </w:r>
    </w:p>
    <w:p w14:paraId="15ECE835"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Hutauruk, M. R., &amp; Ghozali, I. (2020). Overview of return on investment on cigarette companies registered in indonesia stock exchange. </w:t>
      </w:r>
      <w:r w:rsidRPr="00EC7903">
        <w:rPr>
          <w:rFonts w:cs="Calibri"/>
          <w:i/>
          <w:iCs/>
          <w:noProof/>
          <w:sz w:val="24"/>
          <w:szCs w:val="24"/>
        </w:rPr>
        <w:t>International Journal of Scientific and Technology Research</w:t>
      </w:r>
      <w:r w:rsidRPr="00EC7903">
        <w:rPr>
          <w:rFonts w:cs="Calibri"/>
          <w:noProof/>
          <w:sz w:val="24"/>
          <w:szCs w:val="24"/>
        </w:rPr>
        <w:t xml:space="preserve">, </w:t>
      </w:r>
      <w:r w:rsidRPr="00EC7903">
        <w:rPr>
          <w:rFonts w:cs="Calibri"/>
          <w:i/>
          <w:iCs/>
          <w:noProof/>
          <w:sz w:val="24"/>
          <w:szCs w:val="24"/>
        </w:rPr>
        <w:t>9</w:t>
      </w:r>
      <w:r w:rsidRPr="00EC7903">
        <w:rPr>
          <w:rFonts w:cs="Calibri"/>
          <w:noProof/>
          <w:sz w:val="24"/>
          <w:szCs w:val="24"/>
        </w:rPr>
        <w:t>(3), 4633–4637.</w:t>
      </w:r>
    </w:p>
    <w:p w14:paraId="3C94E743"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Kustina, K. T., Dewi, G. A. A. O., Prena, G. Das, &amp; Suryasa, W. (2019). Branchless banking, third-party funds, and profitability evidence reference to banking sector in indonesia. </w:t>
      </w:r>
      <w:r w:rsidRPr="00EC7903">
        <w:rPr>
          <w:rFonts w:cs="Calibri"/>
          <w:i/>
          <w:iCs/>
          <w:noProof/>
          <w:sz w:val="24"/>
          <w:szCs w:val="24"/>
        </w:rPr>
        <w:t>Journal of Advanced Research in Dynamical and Control Systems</w:t>
      </w:r>
      <w:r w:rsidRPr="00EC7903">
        <w:rPr>
          <w:rFonts w:cs="Calibri"/>
          <w:noProof/>
          <w:sz w:val="24"/>
          <w:szCs w:val="24"/>
        </w:rPr>
        <w:t xml:space="preserve">, </w:t>
      </w:r>
      <w:r w:rsidRPr="00EC7903">
        <w:rPr>
          <w:rFonts w:cs="Calibri"/>
          <w:i/>
          <w:iCs/>
          <w:noProof/>
          <w:sz w:val="24"/>
          <w:szCs w:val="24"/>
        </w:rPr>
        <w:t>11</w:t>
      </w:r>
      <w:r w:rsidRPr="00EC7903">
        <w:rPr>
          <w:rFonts w:cs="Calibri"/>
          <w:noProof/>
          <w:sz w:val="24"/>
          <w:szCs w:val="24"/>
        </w:rPr>
        <w:t>(2), 290–299.</w:t>
      </w:r>
    </w:p>
    <w:p w14:paraId="3778BD0C"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Lu, Y., Tian, Z., Buitrago, G. A., Gao, S., Zhao, Y., &amp; Zhang, S. (2021). Intellectual capital and firm performance in the context of venture-capital syndication background in china. </w:t>
      </w:r>
      <w:r w:rsidRPr="00EC7903">
        <w:rPr>
          <w:rFonts w:cs="Calibri"/>
          <w:i/>
          <w:iCs/>
          <w:noProof/>
          <w:sz w:val="24"/>
          <w:szCs w:val="24"/>
        </w:rPr>
        <w:t>Complexity</w:t>
      </w:r>
      <w:r w:rsidRPr="00EC7903">
        <w:rPr>
          <w:rFonts w:cs="Calibri"/>
          <w:noProof/>
          <w:sz w:val="24"/>
          <w:szCs w:val="24"/>
        </w:rPr>
        <w:t xml:space="preserve">, </w:t>
      </w:r>
      <w:r w:rsidRPr="00EC7903">
        <w:rPr>
          <w:rFonts w:cs="Calibri"/>
          <w:i/>
          <w:iCs/>
          <w:noProof/>
          <w:sz w:val="24"/>
          <w:szCs w:val="24"/>
        </w:rPr>
        <w:t>2021</w:t>
      </w:r>
      <w:r w:rsidRPr="00EC7903">
        <w:rPr>
          <w:rFonts w:cs="Calibri"/>
          <w:noProof/>
          <w:sz w:val="24"/>
          <w:szCs w:val="24"/>
        </w:rPr>
        <w:t>, 1–17. https://doi.org/10.1155/2021/3425725</w:t>
      </w:r>
    </w:p>
    <w:p w14:paraId="2DF948AE"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Nomran, N. M., &amp; Haron, R. (2020). Shari’ah supervisory board’s size impact on performance in the Islamic banking industry: An empirical investigation of the optimal board size across jurisdictions. </w:t>
      </w:r>
      <w:r w:rsidRPr="00EC7903">
        <w:rPr>
          <w:rFonts w:cs="Calibri"/>
          <w:i/>
          <w:iCs/>
          <w:noProof/>
          <w:sz w:val="24"/>
          <w:szCs w:val="24"/>
        </w:rPr>
        <w:t>Journal of Islamic Accounting and Business Research</w:t>
      </w:r>
      <w:r w:rsidRPr="00EC7903">
        <w:rPr>
          <w:rFonts w:cs="Calibri"/>
          <w:noProof/>
          <w:sz w:val="24"/>
          <w:szCs w:val="24"/>
        </w:rPr>
        <w:t xml:space="preserve">, </w:t>
      </w:r>
      <w:r w:rsidRPr="00EC7903">
        <w:rPr>
          <w:rFonts w:cs="Calibri"/>
          <w:i/>
          <w:iCs/>
          <w:noProof/>
          <w:sz w:val="24"/>
          <w:szCs w:val="24"/>
        </w:rPr>
        <w:t>11</w:t>
      </w:r>
      <w:r w:rsidRPr="00EC7903">
        <w:rPr>
          <w:rFonts w:cs="Calibri"/>
          <w:noProof/>
          <w:sz w:val="24"/>
          <w:szCs w:val="24"/>
        </w:rPr>
        <w:t>(1), 110–129. https://doi.org/10.1108/JIABR-05-2017-0070</w:t>
      </w:r>
    </w:p>
    <w:p w14:paraId="4F661473"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Nomran, N. M., &amp; Haron, R. (2022). Validity of zakat ratios as Islamic performance indicators in Islamic banking: a congeneric model and confirmatory factor analysis. </w:t>
      </w:r>
      <w:r w:rsidRPr="00EC7903">
        <w:rPr>
          <w:rFonts w:cs="Calibri"/>
          <w:i/>
          <w:iCs/>
          <w:noProof/>
          <w:sz w:val="24"/>
          <w:szCs w:val="24"/>
        </w:rPr>
        <w:t>ISRA International Journal of Islamic Finance</w:t>
      </w:r>
      <w:r w:rsidRPr="00EC7903">
        <w:rPr>
          <w:rFonts w:cs="Calibri"/>
          <w:noProof/>
          <w:sz w:val="24"/>
          <w:szCs w:val="24"/>
        </w:rPr>
        <w:t xml:space="preserve">, </w:t>
      </w:r>
      <w:r w:rsidRPr="00EC7903">
        <w:rPr>
          <w:rFonts w:cs="Calibri"/>
          <w:i/>
          <w:iCs/>
          <w:noProof/>
          <w:sz w:val="24"/>
          <w:szCs w:val="24"/>
        </w:rPr>
        <w:t>14</w:t>
      </w:r>
      <w:r w:rsidRPr="00EC7903">
        <w:rPr>
          <w:rFonts w:cs="Calibri"/>
          <w:noProof/>
          <w:sz w:val="24"/>
          <w:szCs w:val="24"/>
        </w:rPr>
        <w:t>(1), 38–58. https://doi.org/10.1108/IJIF-08-2018-0088</w:t>
      </w:r>
    </w:p>
    <w:p w14:paraId="1A2B666F"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Nurpermana, A. (2021). Effect of Intellectual Capital, Islamicity  Performance on Financial Performance in Causal  Models: Empirical Study on Indonesian Islamic  Banks. </w:t>
      </w:r>
      <w:r w:rsidRPr="00EC7903">
        <w:rPr>
          <w:rFonts w:cs="Calibri"/>
          <w:i/>
          <w:iCs/>
          <w:noProof/>
          <w:sz w:val="24"/>
          <w:szCs w:val="24"/>
        </w:rPr>
        <w:t>International Journal of Science and Research (IJSR)</w:t>
      </w:r>
      <w:r w:rsidRPr="00EC7903">
        <w:rPr>
          <w:rFonts w:cs="Calibri"/>
          <w:noProof/>
          <w:sz w:val="24"/>
          <w:szCs w:val="24"/>
        </w:rPr>
        <w:t xml:space="preserve">, </w:t>
      </w:r>
      <w:r w:rsidRPr="00EC7903">
        <w:rPr>
          <w:rFonts w:cs="Calibri"/>
          <w:i/>
          <w:iCs/>
          <w:noProof/>
          <w:sz w:val="24"/>
          <w:szCs w:val="24"/>
        </w:rPr>
        <w:t>September</w:t>
      </w:r>
      <w:r w:rsidRPr="00EC7903">
        <w:rPr>
          <w:rFonts w:cs="Calibri"/>
          <w:noProof/>
          <w:sz w:val="24"/>
          <w:szCs w:val="24"/>
        </w:rPr>
        <w:t>, 1–10. https://doi.org/10.21275/ART20193580</w:t>
      </w:r>
    </w:p>
    <w:p w14:paraId="0E055DF5"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Ousama, A. A., Hammami, H., &amp; Abdulkarim, M. (2020). The association between intellectual capital and financial performance in the Islamic banking industry: An analysis of the GCC banks. </w:t>
      </w:r>
      <w:r w:rsidRPr="00EC7903">
        <w:rPr>
          <w:rFonts w:cs="Calibri"/>
          <w:i/>
          <w:iCs/>
          <w:noProof/>
          <w:sz w:val="24"/>
          <w:szCs w:val="24"/>
        </w:rPr>
        <w:t>International Journal of Islamic and Middle Eastern Finance and Management</w:t>
      </w:r>
      <w:r w:rsidRPr="00EC7903">
        <w:rPr>
          <w:rFonts w:cs="Calibri"/>
          <w:noProof/>
          <w:sz w:val="24"/>
          <w:szCs w:val="24"/>
        </w:rPr>
        <w:t xml:space="preserve">, </w:t>
      </w:r>
      <w:r w:rsidRPr="00EC7903">
        <w:rPr>
          <w:rFonts w:cs="Calibri"/>
          <w:i/>
          <w:iCs/>
          <w:noProof/>
          <w:sz w:val="24"/>
          <w:szCs w:val="24"/>
        </w:rPr>
        <w:t>13</w:t>
      </w:r>
      <w:r w:rsidRPr="00EC7903">
        <w:rPr>
          <w:rFonts w:cs="Calibri"/>
          <w:noProof/>
          <w:sz w:val="24"/>
          <w:szCs w:val="24"/>
        </w:rPr>
        <w:t>(1), 75–93. https://doi.org/10.1108/IMEFM-05-2016-0073</w:t>
      </w:r>
    </w:p>
    <w:p w14:paraId="7EF24B3A"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Parsa, M. (2022). Efficiency and stability of Islamic vs. conventional banking models: a meta frontier analysis. </w:t>
      </w:r>
      <w:r w:rsidRPr="00EC7903">
        <w:rPr>
          <w:rFonts w:cs="Calibri"/>
          <w:i/>
          <w:iCs/>
          <w:noProof/>
          <w:sz w:val="24"/>
          <w:szCs w:val="24"/>
        </w:rPr>
        <w:t>Journal of Sustainable Finance &amp; Investment</w:t>
      </w:r>
      <w:r w:rsidRPr="00EC7903">
        <w:rPr>
          <w:rFonts w:cs="Calibri"/>
          <w:noProof/>
          <w:sz w:val="24"/>
          <w:szCs w:val="24"/>
        </w:rPr>
        <w:t xml:space="preserve">, </w:t>
      </w:r>
      <w:r w:rsidRPr="00EC7903">
        <w:rPr>
          <w:rFonts w:cs="Calibri"/>
          <w:i/>
          <w:iCs/>
          <w:noProof/>
          <w:sz w:val="24"/>
          <w:szCs w:val="24"/>
        </w:rPr>
        <w:t>12</w:t>
      </w:r>
      <w:r w:rsidRPr="00EC7903">
        <w:rPr>
          <w:rFonts w:cs="Calibri"/>
          <w:noProof/>
          <w:sz w:val="24"/>
          <w:szCs w:val="24"/>
        </w:rPr>
        <w:t>(3), 849–869. https://doi.org/10.1080/20430795.2020.1803665</w:t>
      </w:r>
    </w:p>
    <w:p w14:paraId="303CFE5C"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Pooya, A., Abed Khorasani, M., &amp; Gholamian Ghouzhdi, S. (2020). Investigating the effect of perceived quality of self-service banking on customer satisfaction. </w:t>
      </w:r>
      <w:r w:rsidRPr="00EC7903">
        <w:rPr>
          <w:rFonts w:cs="Calibri"/>
          <w:i/>
          <w:iCs/>
          <w:noProof/>
          <w:sz w:val="24"/>
          <w:szCs w:val="24"/>
        </w:rPr>
        <w:t>International Journal of Islamic and Middle Eastern Finance and Management</w:t>
      </w:r>
      <w:r w:rsidRPr="00EC7903">
        <w:rPr>
          <w:rFonts w:cs="Calibri"/>
          <w:noProof/>
          <w:sz w:val="24"/>
          <w:szCs w:val="24"/>
        </w:rPr>
        <w:t xml:space="preserve">, </w:t>
      </w:r>
      <w:r w:rsidRPr="00EC7903">
        <w:rPr>
          <w:rFonts w:cs="Calibri"/>
          <w:i/>
          <w:iCs/>
          <w:noProof/>
          <w:sz w:val="24"/>
          <w:szCs w:val="24"/>
        </w:rPr>
        <w:t>13</w:t>
      </w:r>
      <w:r w:rsidRPr="00EC7903">
        <w:rPr>
          <w:rFonts w:cs="Calibri"/>
          <w:noProof/>
          <w:sz w:val="24"/>
          <w:szCs w:val="24"/>
        </w:rPr>
        <w:t>(2), 263–280. https://doi.org/10.1108/IMEFM-12-2018-0440</w:t>
      </w:r>
    </w:p>
    <w:p w14:paraId="2EF6E6DD"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Sgambati, S. (2019). The art of leverage: a study of bank power, money-making and debt finance. </w:t>
      </w:r>
      <w:r w:rsidRPr="00EC7903">
        <w:rPr>
          <w:rFonts w:cs="Calibri"/>
          <w:i/>
          <w:iCs/>
          <w:noProof/>
          <w:sz w:val="24"/>
          <w:szCs w:val="24"/>
        </w:rPr>
        <w:t>Review of International Political Economy</w:t>
      </w:r>
      <w:r w:rsidRPr="00EC7903">
        <w:rPr>
          <w:rFonts w:cs="Calibri"/>
          <w:noProof/>
          <w:sz w:val="24"/>
          <w:szCs w:val="24"/>
        </w:rPr>
        <w:t xml:space="preserve">, </w:t>
      </w:r>
      <w:r w:rsidRPr="00EC7903">
        <w:rPr>
          <w:rFonts w:cs="Calibri"/>
          <w:i/>
          <w:iCs/>
          <w:noProof/>
          <w:sz w:val="24"/>
          <w:szCs w:val="24"/>
        </w:rPr>
        <w:t>26</w:t>
      </w:r>
      <w:r w:rsidRPr="00EC7903">
        <w:rPr>
          <w:rFonts w:cs="Calibri"/>
          <w:noProof/>
          <w:sz w:val="24"/>
          <w:szCs w:val="24"/>
        </w:rPr>
        <w:t>(2), 287–312. https://doi.org/10.1080/09692290.2018.1512514</w:t>
      </w:r>
    </w:p>
    <w:p w14:paraId="51038526"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Tuan Ibrahim, T. A. F., Hashim, H. A., &amp; Mohamad Ariff, A. (2020). Ethical values and bank performance: evidence from financial institutions in Malaysia. </w:t>
      </w:r>
      <w:r w:rsidRPr="00EC7903">
        <w:rPr>
          <w:rFonts w:cs="Calibri"/>
          <w:i/>
          <w:iCs/>
          <w:noProof/>
          <w:sz w:val="24"/>
          <w:szCs w:val="24"/>
        </w:rPr>
        <w:t>Journal of Islamic Accounting and Business Research</w:t>
      </w:r>
      <w:r w:rsidRPr="00EC7903">
        <w:rPr>
          <w:rFonts w:cs="Calibri"/>
          <w:noProof/>
          <w:sz w:val="24"/>
          <w:szCs w:val="24"/>
        </w:rPr>
        <w:t xml:space="preserve">, </w:t>
      </w:r>
      <w:r w:rsidRPr="00EC7903">
        <w:rPr>
          <w:rFonts w:cs="Calibri"/>
          <w:i/>
          <w:iCs/>
          <w:noProof/>
          <w:sz w:val="24"/>
          <w:szCs w:val="24"/>
        </w:rPr>
        <w:t>11</w:t>
      </w:r>
      <w:r w:rsidRPr="00EC7903">
        <w:rPr>
          <w:rFonts w:cs="Calibri"/>
          <w:noProof/>
          <w:sz w:val="24"/>
          <w:szCs w:val="24"/>
        </w:rPr>
        <w:t>(1), 233–256. https://doi.org/10.1108/JIABR-11-2016-0139</w:t>
      </w:r>
    </w:p>
    <w:p w14:paraId="0F17ECFB"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Wamba-Taguimdje, S.-L., Fosso Wamba, S., Kala Kamdjoug, J. R., &amp; Tchatchouang Wanko, C. E. (2020). Influence of artificial intelligence (AI) on firm performance: the business value of AI-based transformation projects. </w:t>
      </w:r>
      <w:r w:rsidRPr="00EC7903">
        <w:rPr>
          <w:rFonts w:cs="Calibri"/>
          <w:i/>
          <w:iCs/>
          <w:noProof/>
          <w:sz w:val="24"/>
          <w:szCs w:val="24"/>
        </w:rPr>
        <w:t>Business Process Management Journal</w:t>
      </w:r>
      <w:r w:rsidRPr="00EC7903">
        <w:rPr>
          <w:rFonts w:cs="Calibri"/>
          <w:noProof/>
          <w:sz w:val="24"/>
          <w:szCs w:val="24"/>
        </w:rPr>
        <w:t xml:space="preserve">, </w:t>
      </w:r>
      <w:r w:rsidRPr="00EC7903">
        <w:rPr>
          <w:rFonts w:cs="Calibri"/>
          <w:i/>
          <w:iCs/>
          <w:noProof/>
          <w:sz w:val="24"/>
          <w:szCs w:val="24"/>
        </w:rPr>
        <w:t>26</w:t>
      </w:r>
      <w:r w:rsidRPr="00EC7903">
        <w:rPr>
          <w:rFonts w:cs="Calibri"/>
          <w:noProof/>
          <w:sz w:val="24"/>
          <w:szCs w:val="24"/>
        </w:rPr>
        <w:t>(7), 1893–1924. https://doi.org/10.1108/BPMJ-10-2019-0411</w:t>
      </w:r>
    </w:p>
    <w:p w14:paraId="23EB1B6C"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Wang, C. H., &amp; Juo, W.-J. (2021). An environmental policy of green intellectual capital: Green innovation strategy for performance sustainability. </w:t>
      </w:r>
      <w:r w:rsidRPr="00EC7903">
        <w:rPr>
          <w:rFonts w:cs="Calibri"/>
          <w:i/>
          <w:iCs/>
          <w:noProof/>
          <w:sz w:val="24"/>
          <w:szCs w:val="24"/>
        </w:rPr>
        <w:t>Business Strategy and the Environment</w:t>
      </w:r>
      <w:r w:rsidRPr="00EC7903">
        <w:rPr>
          <w:rFonts w:cs="Calibri"/>
          <w:noProof/>
          <w:sz w:val="24"/>
          <w:szCs w:val="24"/>
        </w:rPr>
        <w:t xml:space="preserve">, </w:t>
      </w:r>
      <w:r w:rsidRPr="00EC7903">
        <w:rPr>
          <w:rFonts w:cs="Calibri"/>
          <w:i/>
          <w:iCs/>
          <w:noProof/>
          <w:sz w:val="24"/>
          <w:szCs w:val="24"/>
        </w:rPr>
        <w:t>30</w:t>
      </w:r>
      <w:r w:rsidRPr="00EC7903">
        <w:rPr>
          <w:rFonts w:cs="Calibri"/>
          <w:noProof/>
          <w:sz w:val="24"/>
          <w:szCs w:val="24"/>
        </w:rPr>
        <w:t>(7), 3241–3254. https://doi.org/https://doi.org/10.1002/bse.2800</w:t>
      </w:r>
    </w:p>
    <w:p w14:paraId="0D87C798"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Xu, J., &amp; Liu, F. (2020). The impact of intellectual capital on firm performance: A modified and extended vaic model. </w:t>
      </w:r>
      <w:r w:rsidRPr="00EC7903">
        <w:rPr>
          <w:rFonts w:cs="Calibri"/>
          <w:i/>
          <w:iCs/>
          <w:noProof/>
          <w:sz w:val="24"/>
          <w:szCs w:val="24"/>
        </w:rPr>
        <w:t>Journal of Competitiveness</w:t>
      </w:r>
      <w:r w:rsidRPr="00EC7903">
        <w:rPr>
          <w:rFonts w:cs="Calibri"/>
          <w:noProof/>
          <w:sz w:val="24"/>
          <w:szCs w:val="24"/>
        </w:rPr>
        <w:t xml:space="preserve">, </w:t>
      </w:r>
      <w:r w:rsidRPr="00EC7903">
        <w:rPr>
          <w:rFonts w:cs="Calibri"/>
          <w:i/>
          <w:iCs/>
          <w:noProof/>
          <w:sz w:val="24"/>
          <w:szCs w:val="24"/>
        </w:rPr>
        <w:t>12</w:t>
      </w:r>
      <w:r w:rsidRPr="00EC7903">
        <w:rPr>
          <w:rFonts w:cs="Calibri"/>
          <w:noProof/>
          <w:sz w:val="24"/>
          <w:szCs w:val="24"/>
        </w:rPr>
        <w:t>(1), 161–176. https://doi.org/10.7441/joc.2020.01.10</w:t>
      </w:r>
    </w:p>
    <w:p w14:paraId="2D00BF07"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szCs w:val="24"/>
        </w:rPr>
      </w:pPr>
      <w:r w:rsidRPr="00EC7903">
        <w:rPr>
          <w:rFonts w:cs="Calibri"/>
          <w:noProof/>
          <w:sz w:val="24"/>
          <w:szCs w:val="24"/>
        </w:rPr>
        <w:t xml:space="preserve">Xu, J., &amp; Zhang, Y. (2021a). Does intellectual capital measurement matter in financial performance? An investigation of chinese agricultural listed companies. </w:t>
      </w:r>
      <w:r w:rsidRPr="00EC7903">
        <w:rPr>
          <w:rFonts w:cs="Calibri"/>
          <w:i/>
          <w:iCs/>
          <w:noProof/>
          <w:sz w:val="24"/>
          <w:szCs w:val="24"/>
        </w:rPr>
        <w:t>Agronomy</w:t>
      </w:r>
      <w:r w:rsidRPr="00EC7903">
        <w:rPr>
          <w:rFonts w:cs="Calibri"/>
          <w:noProof/>
          <w:sz w:val="24"/>
          <w:szCs w:val="24"/>
        </w:rPr>
        <w:t xml:space="preserve">, </w:t>
      </w:r>
      <w:r w:rsidRPr="00EC7903">
        <w:rPr>
          <w:rFonts w:cs="Calibri"/>
          <w:i/>
          <w:iCs/>
          <w:noProof/>
          <w:sz w:val="24"/>
          <w:szCs w:val="24"/>
        </w:rPr>
        <w:t>11</w:t>
      </w:r>
      <w:r w:rsidRPr="00EC7903">
        <w:rPr>
          <w:rFonts w:cs="Calibri"/>
          <w:noProof/>
          <w:sz w:val="24"/>
          <w:szCs w:val="24"/>
        </w:rPr>
        <w:t>(9), 1–18. https://doi.org/10.3390/agronomy11091872</w:t>
      </w:r>
    </w:p>
    <w:p w14:paraId="10AD3AD9" w14:textId="77777777" w:rsidR="00EC7903" w:rsidRPr="00EC7903" w:rsidRDefault="00EC7903" w:rsidP="00EB4EB8">
      <w:pPr>
        <w:widowControl w:val="0"/>
        <w:autoSpaceDE w:val="0"/>
        <w:autoSpaceDN w:val="0"/>
        <w:adjustRightInd w:val="0"/>
        <w:spacing w:before="180" w:after="80" w:line="240" w:lineRule="exact"/>
        <w:ind w:left="480" w:hanging="480"/>
        <w:jc w:val="both"/>
        <w:rPr>
          <w:rFonts w:cs="Calibri"/>
          <w:noProof/>
          <w:sz w:val="24"/>
        </w:rPr>
      </w:pPr>
      <w:r w:rsidRPr="00EC7903">
        <w:rPr>
          <w:rFonts w:cs="Calibri"/>
          <w:noProof/>
          <w:sz w:val="24"/>
          <w:szCs w:val="24"/>
        </w:rPr>
        <w:t xml:space="preserve">Xu, J., &amp; Zhang, Y. (2021b). Exploring the Nonlinear Effect of Intellectual Capital on Financial Performance: Evidence from Listed Shipping Companies in China. </w:t>
      </w:r>
      <w:r w:rsidRPr="00EC7903">
        <w:rPr>
          <w:rFonts w:cs="Calibri"/>
          <w:i/>
          <w:iCs/>
          <w:noProof/>
          <w:sz w:val="24"/>
          <w:szCs w:val="24"/>
        </w:rPr>
        <w:t>Complexity</w:t>
      </w:r>
      <w:r w:rsidRPr="00EC7903">
        <w:rPr>
          <w:rFonts w:cs="Calibri"/>
          <w:noProof/>
          <w:sz w:val="24"/>
          <w:szCs w:val="24"/>
        </w:rPr>
        <w:t xml:space="preserve">, </w:t>
      </w:r>
      <w:r w:rsidRPr="00EC7903">
        <w:rPr>
          <w:rFonts w:cs="Calibri"/>
          <w:i/>
          <w:iCs/>
          <w:noProof/>
          <w:sz w:val="24"/>
          <w:szCs w:val="24"/>
        </w:rPr>
        <w:t>2021</w:t>
      </w:r>
      <w:r w:rsidRPr="00EC7903">
        <w:rPr>
          <w:rFonts w:cs="Calibri"/>
          <w:noProof/>
          <w:sz w:val="24"/>
          <w:szCs w:val="24"/>
        </w:rPr>
        <w:t>. https://doi.org/10.1155/2021/9004907</w:t>
      </w:r>
    </w:p>
    <w:p w14:paraId="54E27247" w14:textId="013C1A37" w:rsidR="00625DE8" w:rsidRPr="001778D5" w:rsidRDefault="001778D5" w:rsidP="00EB4EB8">
      <w:pPr>
        <w:pStyle w:val="I-POINT"/>
        <w:jc w:val="both"/>
      </w:pPr>
      <w:r>
        <w:fldChar w:fldCharType="end"/>
      </w:r>
    </w:p>
    <w:sectPr w:rsidR="00625DE8" w:rsidRPr="001778D5" w:rsidSect="005E3B9A">
      <w:headerReference w:type="default" r:id="rId13"/>
      <w:footnotePr>
        <w:numRestart w:val="eachSect"/>
      </w:footnotePr>
      <w:pgSz w:w="9979" w:h="14181" w:code="147"/>
      <w:pgMar w:top="2155" w:right="1871" w:bottom="2155" w:left="1418" w:header="1418" w:footer="14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2E1D2" w14:textId="77777777" w:rsidR="00233BAA" w:rsidRDefault="00233BAA">
      <w:r>
        <w:separator/>
      </w:r>
    </w:p>
  </w:endnote>
  <w:endnote w:type="continuationSeparator" w:id="0">
    <w:p w14:paraId="54D5E2A1" w14:textId="77777777" w:rsidR="00233BAA" w:rsidRDefault="0023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abic Typesetting">
    <w:charset w:val="B2"/>
    <w:family w:val="script"/>
    <w:pitch w:val="variable"/>
    <w:sig w:usb0="80002007" w:usb1="80000000" w:usb2="00000008" w:usb3="00000000" w:csb0="000000D3" w:csb1="00000000"/>
  </w:font>
  <w:font w:name="Batang">
    <w:altName w:val="바탕"/>
    <w:panose1 w:val="02030600000101010101"/>
    <w:charset w:val="81"/>
    <w:family w:val="roman"/>
    <w:pitch w:val="variable"/>
    <w:sig w:usb0="B00002AF" w:usb1="69D77CFB" w:usb2="00000030" w:usb3="00000000" w:csb0="0008009F"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oudyOlSt BT">
    <w:altName w:val="Times New Roman"/>
    <w:panose1 w:val="00000000000000000000"/>
    <w:charset w:val="B2"/>
    <w:family w:val="roman"/>
    <w:notTrueType/>
    <w:pitch w:val="default"/>
    <w:sig w:usb0="00002001" w:usb1="00000000" w:usb2="00000000" w:usb3="00000000" w:csb0="00000040" w:csb1="00000000"/>
  </w:font>
  <w:font w:name="Futura BdCn BT">
    <w:altName w:val="Arial"/>
    <w:panose1 w:val="00000000000000000000"/>
    <w:charset w:val="B2"/>
    <w:family w:val="swiss"/>
    <w:notTrueType/>
    <w:pitch w:val="default"/>
    <w:sig w:usb0="00002001" w:usb1="00000000" w:usb2="00000000" w:usb3="00000000" w:csb0="00000040" w:csb1="00000000"/>
  </w:font>
  <w:font w:name="Humanst521 BT">
    <w:charset w:val="00"/>
    <w:family w:val="swiss"/>
    <w:pitch w:val="variable"/>
    <w:sig w:usb0="800000AF" w:usb1="1000204A" w:usb2="00000000" w:usb3="00000000" w:csb0="00000011" w:csb1="00000000"/>
  </w:font>
  <w:font w:name="Courier New">
    <w:panose1 w:val="02070309020205020404"/>
    <w:charset w:val="00"/>
    <w:family w:val="modern"/>
    <w:pitch w:val="fixed"/>
    <w:sig w:usb0="E0002EFF" w:usb1="C0007843"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Times New Arabic">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50B5" w14:textId="77777777" w:rsidR="005516D4" w:rsidRPr="00341285" w:rsidRDefault="00181238" w:rsidP="005516D4">
    <w:pPr>
      <w:pStyle w:val="Footer"/>
      <w:pBdr>
        <w:top w:val="single" w:sz="4" w:space="6" w:color="auto"/>
      </w:pBdr>
      <w:spacing w:after="0" w:line="240" w:lineRule="auto"/>
      <w:jc w:val="right"/>
      <w:rPr>
        <w:lang w:val="en-US"/>
      </w:rPr>
    </w:pPr>
    <w:r w:rsidRPr="00341285">
      <w:rPr>
        <w:sz w:val="18"/>
        <w:szCs w:val="18"/>
        <w:lang w:val="en-US"/>
      </w:rPr>
      <w:t>Journal of Islamic Accounting and Finance Research</w:t>
    </w:r>
    <w:r w:rsidRPr="00341285">
      <w:rPr>
        <w:lang w:val="en-US"/>
      </w:rPr>
      <w:t xml:space="preserve"> </w:t>
    </w:r>
    <w:r w:rsidRPr="00341285">
      <w:rPr>
        <w:sz w:val="18"/>
        <w:szCs w:val="18"/>
        <w:lang w:val="en-US"/>
      </w:rPr>
      <w:t>– Vol. 1 No. 1 (201</w:t>
    </w:r>
    <w:r w:rsidR="000D48AA" w:rsidRPr="00341285">
      <w:rPr>
        <w:sz w:val="18"/>
        <w:szCs w:val="18"/>
        <w:lang w:val="en-US"/>
      </w:rPr>
      <w:t>9</w:t>
    </w:r>
    <w:r w:rsidRPr="00341285">
      <w:rPr>
        <w:sz w:val="18"/>
        <w:szCs w:val="18"/>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C713" w14:textId="77777777" w:rsidR="005516D4" w:rsidRPr="00A734EB" w:rsidRDefault="00181238" w:rsidP="00114340">
    <w:pPr>
      <w:pStyle w:val="Footer"/>
      <w:pBdr>
        <w:top w:val="single" w:sz="4" w:space="6" w:color="auto"/>
      </w:pBdr>
      <w:spacing w:after="0" w:line="240" w:lineRule="auto"/>
      <w:rPr>
        <w:lang w:val="en-US"/>
      </w:rPr>
    </w:pPr>
    <w:r w:rsidRPr="00A734EB">
      <w:rPr>
        <w:sz w:val="18"/>
        <w:szCs w:val="18"/>
        <w:lang w:val="en-US"/>
      </w:rPr>
      <w:t>Journal of Islamic Accounting and Finance Research</w:t>
    </w:r>
    <w:r w:rsidR="005516D4" w:rsidRPr="00A734EB">
      <w:rPr>
        <w:lang w:val="en-US"/>
      </w:rPr>
      <w:t xml:space="preserve"> </w:t>
    </w:r>
    <w:r w:rsidR="005516D4" w:rsidRPr="00A734EB">
      <w:rPr>
        <w:sz w:val="18"/>
        <w:szCs w:val="18"/>
        <w:lang w:val="en-US"/>
      </w:rPr>
      <w:t>– Vol. 1 No. 1 (201</w:t>
    </w:r>
    <w:r w:rsidR="000D48AA" w:rsidRPr="00A734EB">
      <w:rPr>
        <w:sz w:val="18"/>
        <w:szCs w:val="18"/>
        <w:lang w:val="en-US"/>
      </w:rPr>
      <w:t>9</w:t>
    </w:r>
    <w:r w:rsidR="005516D4" w:rsidRPr="00A734EB">
      <w:rPr>
        <w:sz w:val="18"/>
        <w:szCs w:val="18"/>
        <w:lang w:val="en-US"/>
      </w:rPr>
      <w:t>)</w:t>
    </w:r>
    <w:r w:rsidR="00AC7A63" w:rsidRPr="00A734EB">
      <w:rPr>
        <w:sz w:val="18"/>
        <w:szCs w:val="18"/>
        <w:lang w:val="en-US"/>
      </w:rPr>
      <w:t xml:space="preserve">             </w:t>
    </w:r>
    <w:r w:rsidR="00AC7A63" w:rsidRPr="00A734EB">
      <w:rPr>
        <w:spacing w:val="60"/>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576DB" w14:textId="77777777" w:rsidR="00233BAA" w:rsidRPr="00EC082F" w:rsidRDefault="00233BAA" w:rsidP="00EC082F">
      <w:pPr>
        <w:spacing w:before="60" w:after="180" w:line="240" w:lineRule="auto"/>
        <w:rPr>
          <w:lang w:val="en-US"/>
        </w:rPr>
      </w:pPr>
      <w:r>
        <w:t>_______________</w:t>
      </w:r>
    </w:p>
  </w:footnote>
  <w:footnote w:type="continuationSeparator" w:id="0">
    <w:p w14:paraId="2AC803F0" w14:textId="77777777" w:rsidR="00233BAA" w:rsidRDefault="00233BAA" w:rsidP="00EC082F">
      <w:pPr>
        <w:spacing w:before="60" w:after="180" w:line="240" w:lineRule="auto"/>
      </w:pPr>
      <w:r>
        <w:t>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A094" w14:textId="2DB8D9B3" w:rsidR="005516D4" w:rsidRPr="00341285" w:rsidRDefault="00313DEC" w:rsidP="00357460">
    <w:pPr>
      <w:pStyle w:val="Header"/>
      <w:rPr>
        <w:sz w:val="20"/>
        <w:szCs w:val="20"/>
        <w:lang w:val="en-US"/>
      </w:rPr>
    </w:pPr>
    <w:r w:rsidRPr="00341285">
      <w:rPr>
        <w:noProof/>
        <w:sz w:val="20"/>
        <w:szCs w:val="20"/>
        <w:lang w:val="en-US"/>
      </w:rPr>
      <mc:AlternateContent>
        <mc:Choice Requires="wps">
          <w:drawing>
            <wp:anchor distT="0" distB="0" distL="114300" distR="114300" simplePos="0" relativeHeight="251657728" behindDoc="0" locked="0" layoutInCell="0" allowOverlap="1" wp14:anchorId="01589705" wp14:editId="3EA6398A">
              <wp:simplePos x="0" y="0"/>
              <wp:positionH relativeFrom="page">
                <wp:posOffset>0</wp:posOffset>
              </wp:positionH>
              <wp:positionV relativeFrom="page">
                <wp:posOffset>1994535</wp:posOffset>
              </wp:positionV>
              <wp:extent cx="1069340" cy="43370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34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F2CB6E" w14:textId="77777777" w:rsidR="006129F2" w:rsidRPr="00341285" w:rsidRDefault="000A322B" w:rsidP="00DB1AD2">
                          <w:pPr>
                            <w:pBdr>
                              <w:top w:val="single" w:sz="4" w:space="1" w:color="D8D8D8"/>
                            </w:pBdr>
                            <w:jc w:val="right"/>
                          </w:pPr>
                          <w:r w:rsidRPr="00341285">
                            <w:rPr>
                              <w:lang w:val="en-US"/>
                            </w:rPr>
                            <w:t>JIAFR</w:t>
                          </w:r>
                          <w:r w:rsidR="006129F2" w:rsidRPr="00341285">
                            <w:t xml:space="preserve"> | </w:t>
                          </w:r>
                          <w:r w:rsidR="006129F2" w:rsidRPr="00341285">
                            <w:fldChar w:fldCharType="begin"/>
                          </w:r>
                          <w:r w:rsidR="006129F2" w:rsidRPr="00341285">
                            <w:instrText xml:space="preserve"> PAGE   \* MERGEFORMAT </w:instrText>
                          </w:r>
                          <w:r w:rsidR="006129F2" w:rsidRPr="00341285">
                            <w:fldChar w:fldCharType="separate"/>
                          </w:r>
                          <w:r w:rsidR="00A734EB">
                            <w:rPr>
                              <w:noProof/>
                            </w:rPr>
                            <w:t>4</w:t>
                          </w:r>
                          <w:r w:rsidR="006129F2" w:rsidRPr="00341285">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01589705" id="Rectangle 3" o:spid="_x0000_s1032" style="position:absolute;margin-left:0;margin-top:157.05pt;width:84.2pt;height:34.15pt;z-index:251657728;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sL6QEAALgDAAAOAAAAZHJzL2Uyb0RvYy54bWysU9uO0zAQfUfiHyy/06SX3YWo6WrVVRHS&#10;wiItfIDjOImF4zFjt0n5esZO263gDZEHa2bsOZ5zfLK+H3vDDgq9Blvy+SznTFkJtbZtyb9/2717&#10;z5kPwtbCgFUlPyrP7zdv36wHV6gFdGBqhYxArC8GV/IuBFdkmZed6oWfgVOWNhvAXgRKsc1qFAOh&#10;9yZb5PltNgDWDkEq76n6OG3yTcJvGiXDc9N4FZgpOc0W0oppreKabdaiaFG4TsvTGOIfpuiFtnTp&#10;BepRBMH2qP+C6rVE8NCEmYQ+g6bRUiUOxGae/8HmpRNOJS4kjncXmfz/g5VfDi/uK8bRvXsC+cMz&#10;C9tO2FY9IMLQKVHTdfMoVDY4X1waYuKplVXDZ6jpacU+QNJgbLCPgMSOjUnq40VqNQYmqTjPbz8s&#10;V/QikvZWy+VdfpOuEMW526EPHxX0LAYlR3rKhC4OTz7EaURxPpKmB6PrnTYmJdhWW4PsIOjZd+k7&#10;ofvrY8bGwxZi24QYK4lmZBZN5IswViNtxrCC+kiEESYbke0p6AB/cTaQhUruf+4FKs7MJ0uiRb+l&#10;YHVzt6AEz9XquiqsJIiSB86mcBsmf+4d6rajG+aJt3cPJPBOJ+6v05zmJXskSU5Wjv67ztOp1x9u&#10;8xsAAP//AwBQSwMEFAAGAAgAAAAhAITs+NXeAAAACAEAAA8AAABkcnMvZG93bnJldi54bWxMj0FP&#10;g0AQhe8m/ofNmHgxdgEJUmRpTE09eGls/QFbdgpEdpaw2xb+vdOTndvMe3nzvXI12V6ccfSdIwXx&#10;IgKBVDvTUaPgZ795zkH4oMno3hEqmNHDqrq/K3Vh3IW+8bwLjeAQ8oVW0IYwFFL6ukWr/cINSKwd&#10;3Wh14HVspBn1hcNtL5MoyqTVHfGHVg+4brH+3Z2sgtf9dvP5tG4ynq/uY57NNhmWSj0+TO9vIAJO&#10;4d8MV3xGh4qZDu5ExoteARcJCl7iNAZxlbM8BXHgS56kIKtS3hao/gAAAP//AwBQSwECLQAUAAYA&#10;CAAAACEAtoM4kv4AAADhAQAAEwAAAAAAAAAAAAAAAAAAAAAAW0NvbnRlbnRfVHlwZXNdLnhtbFBL&#10;AQItABQABgAIAAAAIQA4/SH/1gAAAJQBAAALAAAAAAAAAAAAAAAAAC8BAABfcmVscy8ucmVsc1BL&#10;AQItABQABgAIAAAAIQCvMIsL6QEAALgDAAAOAAAAAAAAAAAAAAAAAC4CAABkcnMvZTJvRG9jLnht&#10;bFBLAQItABQABgAIAAAAIQCE7PjV3gAAAAgBAAAPAAAAAAAAAAAAAAAAAEMEAABkcnMvZG93bnJl&#10;di54bWxQSwUGAAAAAAQABADzAAAATgUAAAAA&#10;" o:allowincell="f" stroked="f">
              <v:textbox style="mso-fit-shape-to-text:t" inset="0,,0">
                <w:txbxContent>
                  <w:p w14:paraId="29F2CB6E" w14:textId="77777777" w:rsidR="006129F2" w:rsidRPr="00341285" w:rsidRDefault="000A322B" w:rsidP="00DB1AD2">
                    <w:pPr>
                      <w:pBdr>
                        <w:top w:val="single" w:sz="4" w:space="1" w:color="D8D8D8"/>
                      </w:pBdr>
                      <w:jc w:val="right"/>
                    </w:pPr>
                    <w:r w:rsidRPr="00341285">
                      <w:rPr>
                        <w:lang w:val="en-US"/>
                      </w:rPr>
                      <w:t>JIAFR</w:t>
                    </w:r>
                    <w:r w:rsidR="006129F2" w:rsidRPr="00341285">
                      <w:t xml:space="preserve"> | </w:t>
                    </w:r>
                    <w:r w:rsidR="006129F2" w:rsidRPr="00341285">
                      <w:fldChar w:fldCharType="begin"/>
                    </w:r>
                    <w:r w:rsidR="006129F2" w:rsidRPr="00341285">
                      <w:instrText xml:space="preserve"> PAGE   \* MERGEFORMAT </w:instrText>
                    </w:r>
                    <w:r w:rsidR="006129F2" w:rsidRPr="00341285">
                      <w:fldChar w:fldCharType="separate"/>
                    </w:r>
                    <w:r w:rsidR="00A734EB">
                      <w:rPr>
                        <w:noProof/>
                      </w:rPr>
                      <w:t>4</w:t>
                    </w:r>
                    <w:r w:rsidR="006129F2" w:rsidRPr="00341285">
                      <w:rPr>
                        <w:noProof/>
                      </w:rPr>
                      <w:fldChar w:fldCharType="end"/>
                    </w:r>
                  </w:p>
                </w:txbxContent>
              </v:textbox>
              <w10:wrap anchorx="page" anchory="page"/>
            </v:rect>
          </w:pict>
        </mc:Fallback>
      </mc:AlternateContent>
    </w:r>
    <w:r w:rsidR="00A144CA">
      <w:rPr>
        <w:sz w:val="20"/>
        <w:szCs w:val="20"/>
        <w:lang w:val="en-US"/>
      </w:rPr>
      <w:t xml:space="preserve">Maya Novitasari, </w:t>
    </w:r>
    <w:proofErr w:type="spellStart"/>
    <w:r w:rsidR="00A144CA">
      <w:rPr>
        <w:sz w:val="20"/>
        <w:szCs w:val="20"/>
        <w:lang w:val="en-US"/>
      </w:rPr>
      <w:t>Richo</w:t>
    </w:r>
    <w:proofErr w:type="spellEnd"/>
    <w:r w:rsidR="00A144CA">
      <w:rPr>
        <w:sz w:val="20"/>
        <w:szCs w:val="20"/>
        <w:lang w:val="en-US"/>
      </w:rPr>
      <w:t xml:space="preserve"> Diana </w:t>
    </w:r>
    <w:proofErr w:type="spellStart"/>
    <w:r w:rsidR="00A144CA">
      <w:rPr>
        <w:sz w:val="20"/>
        <w:szCs w:val="20"/>
        <w:lang w:val="en-US"/>
      </w:rPr>
      <w:t>Aviyanti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6589" w14:textId="77777777" w:rsidR="005516D4" w:rsidRPr="00272B76" w:rsidRDefault="00313DEC" w:rsidP="0030120C">
    <w:pPr>
      <w:pStyle w:val="Header"/>
      <w:rPr>
        <w:sz w:val="18"/>
        <w:szCs w:val="18"/>
        <w:lang w:val="en-US"/>
      </w:rPr>
    </w:pPr>
    <w:r w:rsidRPr="006129F2">
      <w:rPr>
        <w:noProof/>
        <w:sz w:val="18"/>
        <w:szCs w:val="18"/>
        <w:lang w:val="en-US"/>
      </w:rPr>
      <mc:AlternateContent>
        <mc:Choice Requires="wps">
          <w:drawing>
            <wp:anchor distT="0" distB="0" distL="114300" distR="114300" simplePos="0" relativeHeight="251656704" behindDoc="0" locked="0" layoutInCell="0" allowOverlap="1" wp14:anchorId="09FA28BF" wp14:editId="5CF9DC82">
              <wp:simplePos x="0" y="0"/>
              <wp:positionH relativeFrom="page">
                <wp:posOffset>5426075</wp:posOffset>
              </wp:positionH>
              <wp:positionV relativeFrom="page">
                <wp:posOffset>2120900</wp:posOffset>
              </wp:positionV>
              <wp:extent cx="1068705" cy="433705"/>
              <wp:effectExtent l="0" t="0" r="127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EE3DE" w14:textId="77777777" w:rsidR="006129F2" w:rsidRPr="00341285" w:rsidRDefault="005E3B9A" w:rsidP="00DB1AD2">
                          <w:pPr>
                            <w:pBdr>
                              <w:top w:val="single" w:sz="4" w:space="1" w:color="D8D8D8"/>
                            </w:pBdr>
                          </w:pPr>
                          <w:r w:rsidRPr="00341285">
                            <w:rPr>
                              <w:lang w:val="en-US"/>
                            </w:rPr>
                            <w:t>JIAFR</w:t>
                          </w:r>
                          <w:r w:rsidR="006129F2" w:rsidRPr="00341285">
                            <w:t xml:space="preserve"> </w:t>
                          </w:r>
                          <w:r w:rsidR="006129F2" w:rsidRPr="00341285">
                            <w:t xml:space="preserve">| </w:t>
                          </w:r>
                          <w:r w:rsidR="006129F2" w:rsidRPr="00341285">
                            <w:fldChar w:fldCharType="begin"/>
                          </w:r>
                          <w:r w:rsidR="006129F2" w:rsidRPr="00341285">
                            <w:instrText xml:space="preserve"> PAGE   \* MERGEFORMAT </w:instrText>
                          </w:r>
                          <w:r w:rsidR="006129F2" w:rsidRPr="00341285">
                            <w:fldChar w:fldCharType="separate"/>
                          </w:r>
                          <w:r w:rsidR="00A734EB">
                            <w:rPr>
                              <w:noProof/>
                            </w:rPr>
                            <w:t>1</w:t>
                          </w:r>
                          <w:r w:rsidR="006129F2" w:rsidRPr="00341285">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09FA28BF" id="Rectangle 4" o:spid="_x0000_s1033" style="position:absolute;margin-left:427.25pt;margin-top:167pt;width:84.15pt;height:34.15pt;z-index:251656704;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pj6QEAAL8DAAAOAAAAZHJzL2Uyb0RvYy54bWysU9uO0zAQfUfiHyy/0yTdq6Kmq1VXRUgL&#10;rLTwAY7jJBaOx4zdJuXrGTttt4I3RB6smfH4eM7xyephGgzbK/QabMWLRc6ZshIabbuKf/+2/XDP&#10;mQ/CNsKAVRU/KM8f1u/frUZXqiX0YBqFjECsL0dX8T4EV2aZl70ahF+AU5Y2W8BBBEqxyxoUI6EP&#10;Jlvm+W02AjYOQSrvqfo0b/J1wm9bJcPXtvUqMFNxmi2kFdNaxzVbr0TZoXC9lscxxD9MMQht6dIz&#10;1JMIgu1Q/wU1aIngoQ0LCUMGbaulShyITZH/wea1F04lLiSOd2eZ/P+DlV/2r+4F4+jePYP84ZmF&#10;TS9spx4RYeyVaOi6IgqVjc6X5wMx8XSU1eNnaOhpxS5A0mBqcYiAxI5NSerDWWo1BSapWOS393f5&#10;DWeS9q6vrmIcrxDl6bRDHz4qGFgMKo70lAld7J99mFtPLWl6MLrZamNSgl29Mcj2gp59m74jur9s&#10;MzY2W4jHZsRYSTQjs2giX4apnphujhrESg3NgXgjzG4i91PQA/7ibCQnVdz/3AlUnJlPlrSLtkvB&#10;9c3dkhI8VevLqrCSICoeOJvDTZhtunOou55uKBJ97x5J561OErxNcxybXJJEPDo62vAyT11v/936&#10;NwAAAP//AwBQSwMEFAAGAAgAAAAhAMjgasLhAAAADAEAAA8AAABkcnMvZG93bnJldi54bWxMj8FO&#10;wzAMhu9IvENkJC6IpaTdGKXphIbGgcvExgNkjWkrGqdqsq19e7wT883yp9/fX6xG14kTDqH1pOFp&#10;loBAqrxtqdbwvd88LkGEaMiazhNqmDDAqry9KUxu/Zm+8LSLteAQCrnR0MTY51KGqkFnwsz3SHz7&#10;8YMzkdehlnYwZw53nVRJspDOtMQfGtPjusHqd3d0Gp73283Hw7pe8Hy279Nkt6p/0fr+bnx7BRFx&#10;jP8wXPRZHUp2Ovgj2SA6Dct5NmdUQ5pmXOpCJEpxm4OGLFEpyLKQ1yXKPwAAAP//AwBQSwECLQAU&#10;AAYACAAAACEAtoM4kv4AAADhAQAAEwAAAAAAAAAAAAAAAAAAAAAAW0NvbnRlbnRfVHlwZXNdLnht&#10;bFBLAQItABQABgAIAAAAIQA4/SH/1gAAAJQBAAALAAAAAAAAAAAAAAAAAC8BAABfcmVscy8ucmVs&#10;c1BLAQItABQABgAIAAAAIQDRzcpj6QEAAL8DAAAOAAAAAAAAAAAAAAAAAC4CAABkcnMvZTJvRG9j&#10;LnhtbFBLAQItABQABgAIAAAAIQDI4GrC4QAAAAwBAAAPAAAAAAAAAAAAAAAAAEMEAABkcnMvZG93&#10;bnJldi54bWxQSwUGAAAAAAQABADzAAAAUQUAAAAA&#10;" o:allowincell="f" stroked="f">
              <v:textbox style="mso-fit-shape-to-text:t" inset="0,,0">
                <w:txbxContent>
                  <w:p w14:paraId="720EE3DE" w14:textId="77777777" w:rsidR="006129F2" w:rsidRPr="00341285" w:rsidRDefault="005E3B9A" w:rsidP="00DB1AD2">
                    <w:pPr>
                      <w:pBdr>
                        <w:top w:val="single" w:sz="4" w:space="1" w:color="D8D8D8"/>
                      </w:pBdr>
                    </w:pPr>
                    <w:r w:rsidRPr="00341285">
                      <w:rPr>
                        <w:lang w:val="en-US"/>
                      </w:rPr>
                      <w:t>JIAFR</w:t>
                    </w:r>
                    <w:r w:rsidR="006129F2" w:rsidRPr="00341285">
                      <w:t xml:space="preserve"> | </w:t>
                    </w:r>
                    <w:r w:rsidR="006129F2" w:rsidRPr="00341285">
                      <w:fldChar w:fldCharType="begin"/>
                    </w:r>
                    <w:r w:rsidR="006129F2" w:rsidRPr="00341285">
                      <w:instrText xml:space="preserve"> PAGE   \* MERGEFORMAT </w:instrText>
                    </w:r>
                    <w:r w:rsidR="006129F2" w:rsidRPr="00341285">
                      <w:fldChar w:fldCharType="separate"/>
                    </w:r>
                    <w:r w:rsidR="00A734EB">
                      <w:rPr>
                        <w:noProof/>
                      </w:rPr>
                      <w:t>1</w:t>
                    </w:r>
                    <w:r w:rsidR="006129F2" w:rsidRPr="00341285">
                      <w:rPr>
                        <w:noProof/>
                      </w:rPr>
                      <w:fldChar w:fldCharType="end"/>
                    </w:r>
                  </w:p>
                </w:txbxContent>
              </v:textbox>
              <w10:wrap anchorx="page" anchory="page"/>
            </v:rect>
          </w:pict>
        </mc:Fallback>
      </mc:AlternateContent>
    </w:r>
    <w:r w:rsidR="006467DC" w:rsidRPr="006467DC">
      <w:rPr>
        <w:sz w:val="18"/>
        <w:szCs w:val="18"/>
        <w:lang w:val="en-US"/>
      </w:rPr>
      <w:t xml:space="preserve"> </w:t>
    </w:r>
    <w:r w:rsidR="006467DC">
      <w:rPr>
        <w:sz w:val="18"/>
        <w:szCs w:val="18"/>
        <w:lang w:val="en-US"/>
      </w:rPr>
      <w:t>Journal of Islamic Accounting and Finance Research</w:t>
    </w:r>
    <w:r w:rsidR="006467DC" w:rsidRPr="00272B76">
      <w:rPr>
        <w:sz w:val="18"/>
        <w:szCs w:val="18"/>
        <w:lang w:val="en-US"/>
      </w:rPr>
      <w:t xml:space="preserve"> </w:t>
    </w:r>
    <w:r w:rsidR="006467DC">
      <w:rPr>
        <w:sz w:val="18"/>
        <w:szCs w:val="18"/>
        <w:lang w:val="en-US"/>
      </w:rPr>
      <w:br/>
    </w:r>
    <w:r w:rsidR="006467DC" w:rsidRPr="00272B76">
      <w:rPr>
        <w:sz w:val="18"/>
        <w:szCs w:val="18"/>
        <w:lang w:val="en-US"/>
      </w:rPr>
      <w:t xml:space="preserve">Vol. </w:t>
    </w:r>
    <w:r w:rsidR="006467DC">
      <w:rPr>
        <w:sz w:val="18"/>
        <w:szCs w:val="18"/>
        <w:lang w:val="en-US"/>
      </w:rPr>
      <w:t>1</w:t>
    </w:r>
    <w:r w:rsidR="006467DC" w:rsidRPr="00272B76">
      <w:rPr>
        <w:sz w:val="18"/>
        <w:szCs w:val="18"/>
        <w:lang w:val="en-US"/>
      </w:rPr>
      <w:t xml:space="preserve"> No. 1 (201</w:t>
    </w:r>
    <w:r w:rsidR="006467DC">
      <w:rPr>
        <w:sz w:val="18"/>
        <w:szCs w:val="18"/>
        <w:lang w:val="en-US"/>
      </w:rPr>
      <w:t>9), 1-24; DOI: https://dx.doi.org/10.21580/jiafr.2019.1.1.3753</w:t>
    </w:r>
    <w:r w:rsidR="006467DC" w:rsidRPr="00272B76">
      <w:rPr>
        <w:sz w:val="18"/>
        <w:szCs w:val="18"/>
        <w:lang w:val="en-US"/>
      </w:rPr>
      <w:t xml:space="preserve"> </w:t>
    </w:r>
    <w:r w:rsidR="0030120C">
      <w:rPr>
        <w:sz w:val="18"/>
        <w:szCs w:val="18"/>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ED2C" w14:textId="77777777" w:rsidR="005516D4" w:rsidRPr="00341285" w:rsidRDefault="00313DEC" w:rsidP="007B7C2C">
    <w:pPr>
      <w:pStyle w:val="Header"/>
      <w:jc w:val="right"/>
      <w:rPr>
        <w:sz w:val="20"/>
        <w:szCs w:val="20"/>
        <w:lang w:val="en-US"/>
      </w:rPr>
    </w:pPr>
    <w:r w:rsidRPr="00341285">
      <w:rPr>
        <w:noProof/>
        <w:sz w:val="20"/>
        <w:szCs w:val="20"/>
        <w:lang w:val="en-US"/>
      </w:rPr>
      <mc:AlternateContent>
        <mc:Choice Requires="wps">
          <w:drawing>
            <wp:anchor distT="0" distB="0" distL="114300" distR="114300" simplePos="0" relativeHeight="251658752" behindDoc="0" locked="0" layoutInCell="0" allowOverlap="1" wp14:anchorId="788D5F1C" wp14:editId="6286A6FC">
              <wp:simplePos x="0" y="0"/>
              <wp:positionH relativeFrom="page">
                <wp:posOffset>5426075</wp:posOffset>
              </wp:positionH>
              <wp:positionV relativeFrom="page">
                <wp:posOffset>1994535</wp:posOffset>
              </wp:positionV>
              <wp:extent cx="1065530" cy="433705"/>
              <wp:effectExtent l="0" t="0" r="4445"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F299D" w14:textId="77777777" w:rsidR="000A322B" w:rsidRPr="00A734EB" w:rsidRDefault="000A322B" w:rsidP="00DB1AD2">
                          <w:pPr>
                            <w:pBdr>
                              <w:top w:val="single" w:sz="4" w:space="1" w:color="D8D8D8"/>
                            </w:pBdr>
                          </w:pPr>
                          <w:r w:rsidRPr="00A734EB">
                            <w:rPr>
                              <w:lang w:val="en-US"/>
                            </w:rPr>
                            <w:t>JIAFR</w:t>
                          </w:r>
                          <w:r w:rsidRPr="00A734EB">
                            <w:t xml:space="preserve"> </w:t>
                          </w:r>
                          <w:r w:rsidRPr="00A734EB">
                            <w:t xml:space="preserve">| </w:t>
                          </w:r>
                          <w:r w:rsidRPr="00A734EB">
                            <w:fldChar w:fldCharType="begin"/>
                          </w:r>
                          <w:r w:rsidRPr="00A734EB">
                            <w:instrText xml:space="preserve"> PAGE   \* MERGEFORMAT </w:instrText>
                          </w:r>
                          <w:r w:rsidRPr="00A734EB">
                            <w:fldChar w:fldCharType="separate"/>
                          </w:r>
                          <w:r w:rsidR="00A734EB">
                            <w:rPr>
                              <w:noProof/>
                            </w:rPr>
                            <w:t>3</w:t>
                          </w:r>
                          <w:r w:rsidRPr="00A734EB">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788D5F1C" id="Rectangle 6" o:spid="_x0000_s1034" style="position:absolute;left:0;text-align:left;margin-left:427.25pt;margin-top:157.05pt;width:83.9pt;height:34.15pt;z-index:251658752;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64a7gEAAL8DAAAOAAAAZHJzL2Uyb0RvYy54bWysU9tu2zAMfR+wfxD0vthJmnYw4hRFigwD&#10;ugvQ7QNkWbaF2aJGKrG7rx+lXBpsb8P8IJCUdMRzeLy+n4ZeHAySBVfK+SyXwjgNtXVtKb9/2717&#10;LwUF5WrVgzOlfDEk7zdv36xHX5gFdNDXBgWDOCpGX8ouBF9kGenODIpm4I3jzQZwUIFTbLMa1cjo&#10;Q58t8vw2GwFrj6ANEVcfj5tyk/CbxujwpWnIBNGXknsLacW0VnHNNmtVtKh8Z/WpDfUPXQzKOn70&#10;AvWoghJ7tH9BDVYjEDRhpmHIoGmsNokDs5nnf7B57pQ3iQuLQ/4iE/0/WP358Oy/Ymyd/BPoHyQc&#10;bDvlWvOACGNnVM3PzaNQ2eipuFyICfFVUY2foObRqn2ApMHU4BABmZ2YktQvF6nNFITm4jy/Xa2W&#10;PBHNezfL5V2+Sk+o4nzbI4UPBgYRg1IijzKhq8MThdiNKs5HUvfQ23pn+z4l2FbbHsVB8dh36Tuh&#10;0/Wx3sXDDuK1I2KsJJqRWTQRFWGqJmHrUi4iRKxUUL8wb4Sjm9j9HHSAv6QY2UmlpJ97hUaK/qNj&#10;7aLtUnCzultwgudqdV1VTjNEKYMUx3Abjjbde7Rtxy/ME33yD6zzziYJXrs5tc0uScqcHB1teJ2n&#10;U6//3eY3AAAA//8DAFBLAwQUAAYACAAAACEAV2x+z+EAAAAMAQAADwAAAGRycy9kb3ducmV2Lnht&#10;bEyPwU7DMAyG75N4h8hIXCaWtutGKU0nNDQOXCY2HiBrTFvROFWTbe3b453AN9uffn8uNqPtxAUH&#10;3zpSEC8iEEiVMy3VCr6Ou8cMhA+ajO4coYIJPWzKu1mhc+Ou9ImXQ6gFh5DPtYImhD6X0lcNWu0X&#10;rkfi3bcbrA7cDrU0g75yuO1kEkVraXVLfKHRPW4brH4OZ6vg6bjfvc+39Zrro32bJrNP+melHu7H&#10;1xcQAcfwB8NNn9WhZKeTO5PxolOQrdIVowqWcRqDuBFRkixBnHiUJSnIspD/nyh/AQAA//8DAFBL&#10;AQItABQABgAIAAAAIQC2gziS/gAAAOEBAAATAAAAAAAAAAAAAAAAAAAAAABbQ29udGVudF9UeXBl&#10;c10ueG1sUEsBAi0AFAAGAAgAAAAhADj9If/WAAAAlAEAAAsAAAAAAAAAAAAAAAAALwEAAF9yZWxz&#10;Ly5yZWxzUEsBAi0AFAAGAAgAAAAhALi7rhruAQAAvwMAAA4AAAAAAAAAAAAAAAAALgIAAGRycy9l&#10;Mm9Eb2MueG1sUEsBAi0AFAAGAAgAAAAhAFdsfs/hAAAADAEAAA8AAAAAAAAAAAAAAAAASAQAAGRy&#10;cy9kb3ducmV2LnhtbFBLBQYAAAAABAAEAPMAAABWBQAAAAA=&#10;" o:allowincell="f" stroked="f">
              <v:textbox style="mso-fit-shape-to-text:t" inset="0,,0">
                <w:txbxContent>
                  <w:p w14:paraId="418F299D" w14:textId="77777777" w:rsidR="000A322B" w:rsidRPr="00A734EB" w:rsidRDefault="000A322B" w:rsidP="00DB1AD2">
                    <w:pPr>
                      <w:pBdr>
                        <w:top w:val="single" w:sz="4" w:space="1" w:color="D8D8D8"/>
                      </w:pBdr>
                    </w:pPr>
                    <w:r w:rsidRPr="00A734EB">
                      <w:rPr>
                        <w:lang w:val="en-US"/>
                      </w:rPr>
                      <w:t>JIAFR</w:t>
                    </w:r>
                    <w:r w:rsidRPr="00A734EB">
                      <w:t xml:space="preserve"> | </w:t>
                    </w:r>
                    <w:r w:rsidRPr="00A734EB">
                      <w:fldChar w:fldCharType="begin"/>
                    </w:r>
                    <w:r w:rsidRPr="00A734EB">
                      <w:instrText xml:space="preserve"> PAGE   \* MERGEFORMAT </w:instrText>
                    </w:r>
                    <w:r w:rsidRPr="00A734EB">
                      <w:fldChar w:fldCharType="separate"/>
                    </w:r>
                    <w:r w:rsidR="00A734EB">
                      <w:rPr>
                        <w:noProof/>
                      </w:rPr>
                      <w:t>3</w:t>
                    </w:r>
                    <w:r w:rsidRPr="00A734EB">
                      <w:rPr>
                        <w:noProof/>
                      </w:rPr>
                      <w:fldChar w:fldCharType="end"/>
                    </w:r>
                  </w:p>
                </w:txbxContent>
              </v:textbox>
              <w10:wrap anchorx="page" anchory="page"/>
            </v:rect>
          </w:pict>
        </mc:Fallback>
      </mc:AlternateContent>
    </w:r>
    <w:r w:rsidR="000A322B" w:rsidRPr="00341285">
      <w:rPr>
        <w:sz w:val="20"/>
        <w:szCs w:val="20"/>
        <w:lang w:val="en-US"/>
      </w:rPr>
      <w:t xml:space="preserve"> </w:t>
    </w:r>
    <w:r w:rsidR="00967239">
      <w:rPr>
        <w:sz w:val="20"/>
        <w:szCs w:val="20"/>
        <w:lang w:val="en-US"/>
      </w:rPr>
      <w:t>The Title of Manuscripts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37C0C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D6B70"/>
    <w:multiLevelType w:val="hybridMultilevel"/>
    <w:tmpl w:val="7D3CEFB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1293AE0"/>
    <w:multiLevelType w:val="hybridMultilevel"/>
    <w:tmpl w:val="816455D4"/>
    <w:lvl w:ilvl="0" w:tplc="1A56A3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4E41E90"/>
    <w:multiLevelType w:val="hybridMultilevel"/>
    <w:tmpl w:val="2778967A"/>
    <w:lvl w:ilvl="0" w:tplc="C932140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E1C4504"/>
    <w:multiLevelType w:val="hybridMultilevel"/>
    <w:tmpl w:val="892AB96C"/>
    <w:lvl w:ilvl="0" w:tplc="632606C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6C7B7C73"/>
    <w:multiLevelType w:val="hybridMultilevel"/>
    <w:tmpl w:val="81B8DE9C"/>
    <w:lvl w:ilvl="0" w:tplc="7EA6307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39967495">
    <w:abstractNumId w:val="0"/>
  </w:num>
  <w:num w:numId="2" w16cid:durableId="663171006">
    <w:abstractNumId w:val="1"/>
  </w:num>
  <w:num w:numId="3" w16cid:durableId="1207910399">
    <w:abstractNumId w:val="2"/>
  </w:num>
  <w:num w:numId="4" w16cid:durableId="2056077440">
    <w:abstractNumId w:val="5"/>
  </w:num>
  <w:num w:numId="5" w16cid:durableId="2019236362">
    <w:abstractNumId w:val="4"/>
  </w:num>
  <w:num w:numId="6" w16cid:durableId="80026595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zNDC2sDQ2NTc3sTRR0lEKTi0uzszPAykwrQUAhpqNJCwAAAA="/>
  </w:docVars>
  <w:rsids>
    <w:rsidRoot w:val="009D5521"/>
    <w:rsid w:val="00000554"/>
    <w:rsid w:val="000059F6"/>
    <w:rsid w:val="000131FD"/>
    <w:rsid w:val="00015182"/>
    <w:rsid w:val="00017FF4"/>
    <w:rsid w:val="00022448"/>
    <w:rsid w:val="000228C3"/>
    <w:rsid w:val="000243AA"/>
    <w:rsid w:val="00024C0A"/>
    <w:rsid w:val="00026438"/>
    <w:rsid w:val="00030804"/>
    <w:rsid w:val="0003456C"/>
    <w:rsid w:val="00035FF1"/>
    <w:rsid w:val="00036ED0"/>
    <w:rsid w:val="000379F9"/>
    <w:rsid w:val="00037A6A"/>
    <w:rsid w:val="00041C24"/>
    <w:rsid w:val="000421F0"/>
    <w:rsid w:val="00044998"/>
    <w:rsid w:val="00046105"/>
    <w:rsid w:val="0004702C"/>
    <w:rsid w:val="00047A22"/>
    <w:rsid w:val="000620E6"/>
    <w:rsid w:val="00063DD8"/>
    <w:rsid w:val="00063E39"/>
    <w:rsid w:val="00065A2C"/>
    <w:rsid w:val="00067DDE"/>
    <w:rsid w:val="00070351"/>
    <w:rsid w:val="00070F08"/>
    <w:rsid w:val="00076589"/>
    <w:rsid w:val="00076D46"/>
    <w:rsid w:val="00095249"/>
    <w:rsid w:val="000A0084"/>
    <w:rsid w:val="000A322B"/>
    <w:rsid w:val="000A3DD3"/>
    <w:rsid w:val="000A4D1E"/>
    <w:rsid w:val="000A5051"/>
    <w:rsid w:val="000A650B"/>
    <w:rsid w:val="000B220B"/>
    <w:rsid w:val="000B3090"/>
    <w:rsid w:val="000B4447"/>
    <w:rsid w:val="000C2DEB"/>
    <w:rsid w:val="000C3DC2"/>
    <w:rsid w:val="000C4736"/>
    <w:rsid w:val="000C6FC5"/>
    <w:rsid w:val="000D0361"/>
    <w:rsid w:val="000D1451"/>
    <w:rsid w:val="000D2D60"/>
    <w:rsid w:val="000D32A3"/>
    <w:rsid w:val="000D48AA"/>
    <w:rsid w:val="000D58BF"/>
    <w:rsid w:val="000E31D8"/>
    <w:rsid w:val="000E5189"/>
    <w:rsid w:val="000F100F"/>
    <w:rsid w:val="000F2D5D"/>
    <w:rsid w:val="000F2EE9"/>
    <w:rsid w:val="000F3E00"/>
    <w:rsid w:val="000F5FE7"/>
    <w:rsid w:val="000F6B2D"/>
    <w:rsid w:val="000F7CA2"/>
    <w:rsid w:val="001027E7"/>
    <w:rsid w:val="00103243"/>
    <w:rsid w:val="001073F8"/>
    <w:rsid w:val="001104C8"/>
    <w:rsid w:val="00111E65"/>
    <w:rsid w:val="001121D0"/>
    <w:rsid w:val="00114340"/>
    <w:rsid w:val="00114E2E"/>
    <w:rsid w:val="00115C39"/>
    <w:rsid w:val="00131B7E"/>
    <w:rsid w:val="00132CCD"/>
    <w:rsid w:val="001369C3"/>
    <w:rsid w:val="001417A6"/>
    <w:rsid w:val="00141DE0"/>
    <w:rsid w:val="00143CD1"/>
    <w:rsid w:val="00145D34"/>
    <w:rsid w:val="00146C8C"/>
    <w:rsid w:val="00147F79"/>
    <w:rsid w:val="001539B4"/>
    <w:rsid w:val="00155912"/>
    <w:rsid w:val="00156A62"/>
    <w:rsid w:val="001605D8"/>
    <w:rsid w:val="00170BDB"/>
    <w:rsid w:val="0017734B"/>
    <w:rsid w:val="001778D5"/>
    <w:rsid w:val="00181238"/>
    <w:rsid w:val="001845A7"/>
    <w:rsid w:val="00185084"/>
    <w:rsid w:val="00185A65"/>
    <w:rsid w:val="00187E25"/>
    <w:rsid w:val="0019025B"/>
    <w:rsid w:val="00193871"/>
    <w:rsid w:val="0019598E"/>
    <w:rsid w:val="001A2B35"/>
    <w:rsid w:val="001B024D"/>
    <w:rsid w:val="001B1CA6"/>
    <w:rsid w:val="001B3B61"/>
    <w:rsid w:val="001B61E5"/>
    <w:rsid w:val="001C27C9"/>
    <w:rsid w:val="001D2674"/>
    <w:rsid w:val="001D3C05"/>
    <w:rsid w:val="001F26B0"/>
    <w:rsid w:val="001F324F"/>
    <w:rsid w:val="001F6CE7"/>
    <w:rsid w:val="00201583"/>
    <w:rsid w:val="002038C8"/>
    <w:rsid w:val="00203CB1"/>
    <w:rsid w:val="002065AD"/>
    <w:rsid w:val="0020737B"/>
    <w:rsid w:val="0020779B"/>
    <w:rsid w:val="002107F6"/>
    <w:rsid w:val="0021090A"/>
    <w:rsid w:val="002132E7"/>
    <w:rsid w:val="00220ADD"/>
    <w:rsid w:val="00230E45"/>
    <w:rsid w:val="00233BAA"/>
    <w:rsid w:val="00240B49"/>
    <w:rsid w:val="0024286F"/>
    <w:rsid w:val="0024502B"/>
    <w:rsid w:val="00255C03"/>
    <w:rsid w:val="002562E8"/>
    <w:rsid w:val="00257967"/>
    <w:rsid w:val="00261075"/>
    <w:rsid w:val="0026321A"/>
    <w:rsid w:val="002642DC"/>
    <w:rsid w:val="002655F1"/>
    <w:rsid w:val="002656FE"/>
    <w:rsid w:val="00271C06"/>
    <w:rsid w:val="00272B76"/>
    <w:rsid w:val="00273141"/>
    <w:rsid w:val="00276733"/>
    <w:rsid w:val="00276D3D"/>
    <w:rsid w:val="00281BAE"/>
    <w:rsid w:val="00281CD0"/>
    <w:rsid w:val="0028459C"/>
    <w:rsid w:val="00286EB7"/>
    <w:rsid w:val="002903AE"/>
    <w:rsid w:val="002967ED"/>
    <w:rsid w:val="00296ACB"/>
    <w:rsid w:val="002A0572"/>
    <w:rsid w:val="002A0D5D"/>
    <w:rsid w:val="002B19AE"/>
    <w:rsid w:val="002B2601"/>
    <w:rsid w:val="002C2568"/>
    <w:rsid w:val="002C4158"/>
    <w:rsid w:val="002C717A"/>
    <w:rsid w:val="002E269C"/>
    <w:rsid w:val="002E3991"/>
    <w:rsid w:val="002E5E0D"/>
    <w:rsid w:val="002F0B3F"/>
    <w:rsid w:val="002F73C0"/>
    <w:rsid w:val="002F7440"/>
    <w:rsid w:val="0030120C"/>
    <w:rsid w:val="00301439"/>
    <w:rsid w:val="0030403E"/>
    <w:rsid w:val="003042CE"/>
    <w:rsid w:val="00305DD7"/>
    <w:rsid w:val="00313DEC"/>
    <w:rsid w:val="00315685"/>
    <w:rsid w:val="00316A31"/>
    <w:rsid w:val="00322E93"/>
    <w:rsid w:val="00323CAF"/>
    <w:rsid w:val="00324633"/>
    <w:rsid w:val="0032465B"/>
    <w:rsid w:val="00324900"/>
    <w:rsid w:val="00324B6A"/>
    <w:rsid w:val="003359FE"/>
    <w:rsid w:val="00337857"/>
    <w:rsid w:val="00340096"/>
    <w:rsid w:val="00341285"/>
    <w:rsid w:val="00350298"/>
    <w:rsid w:val="00355BB9"/>
    <w:rsid w:val="00357000"/>
    <w:rsid w:val="00357460"/>
    <w:rsid w:val="00361CBF"/>
    <w:rsid w:val="00363CB6"/>
    <w:rsid w:val="00364C7F"/>
    <w:rsid w:val="003677F2"/>
    <w:rsid w:val="003717BD"/>
    <w:rsid w:val="0037252D"/>
    <w:rsid w:val="00373D43"/>
    <w:rsid w:val="00376BE0"/>
    <w:rsid w:val="00376FD3"/>
    <w:rsid w:val="00377302"/>
    <w:rsid w:val="00377475"/>
    <w:rsid w:val="00381DF9"/>
    <w:rsid w:val="0038215C"/>
    <w:rsid w:val="0038244D"/>
    <w:rsid w:val="0038354A"/>
    <w:rsid w:val="00384DE9"/>
    <w:rsid w:val="00387776"/>
    <w:rsid w:val="003A56C7"/>
    <w:rsid w:val="003B0F70"/>
    <w:rsid w:val="003B57FA"/>
    <w:rsid w:val="003B5A05"/>
    <w:rsid w:val="003B6F84"/>
    <w:rsid w:val="003C4671"/>
    <w:rsid w:val="003C4CCA"/>
    <w:rsid w:val="003C5485"/>
    <w:rsid w:val="003C5555"/>
    <w:rsid w:val="003D0AB3"/>
    <w:rsid w:val="003D58E5"/>
    <w:rsid w:val="003D7B34"/>
    <w:rsid w:val="003E4299"/>
    <w:rsid w:val="003E6D88"/>
    <w:rsid w:val="003F22C2"/>
    <w:rsid w:val="003F2E65"/>
    <w:rsid w:val="003F5069"/>
    <w:rsid w:val="003F7524"/>
    <w:rsid w:val="0040103D"/>
    <w:rsid w:val="004028B8"/>
    <w:rsid w:val="00406FA4"/>
    <w:rsid w:val="0040774B"/>
    <w:rsid w:val="00416DCE"/>
    <w:rsid w:val="00420A5D"/>
    <w:rsid w:val="00420F29"/>
    <w:rsid w:val="004217B9"/>
    <w:rsid w:val="00434182"/>
    <w:rsid w:val="004342B7"/>
    <w:rsid w:val="004345A7"/>
    <w:rsid w:val="00437554"/>
    <w:rsid w:val="00440BCC"/>
    <w:rsid w:val="00442338"/>
    <w:rsid w:val="004433D6"/>
    <w:rsid w:val="004444C3"/>
    <w:rsid w:val="0045092B"/>
    <w:rsid w:val="004600BE"/>
    <w:rsid w:val="004606FD"/>
    <w:rsid w:val="004610E7"/>
    <w:rsid w:val="00461D89"/>
    <w:rsid w:val="004674A5"/>
    <w:rsid w:val="00467778"/>
    <w:rsid w:val="00470E8B"/>
    <w:rsid w:val="004734CA"/>
    <w:rsid w:val="0047598D"/>
    <w:rsid w:val="004768EE"/>
    <w:rsid w:val="00476C94"/>
    <w:rsid w:val="00477AFE"/>
    <w:rsid w:val="00481AB2"/>
    <w:rsid w:val="004831D9"/>
    <w:rsid w:val="00484481"/>
    <w:rsid w:val="00484925"/>
    <w:rsid w:val="00484B52"/>
    <w:rsid w:val="00486A71"/>
    <w:rsid w:val="0049149A"/>
    <w:rsid w:val="00495FEF"/>
    <w:rsid w:val="00497FBC"/>
    <w:rsid w:val="004A118D"/>
    <w:rsid w:val="004B21EE"/>
    <w:rsid w:val="004B3AC6"/>
    <w:rsid w:val="004B3BF1"/>
    <w:rsid w:val="004C01D2"/>
    <w:rsid w:val="004C0E0C"/>
    <w:rsid w:val="004C105F"/>
    <w:rsid w:val="004C1E7B"/>
    <w:rsid w:val="004C3EA3"/>
    <w:rsid w:val="004C50A5"/>
    <w:rsid w:val="004C6929"/>
    <w:rsid w:val="004C7890"/>
    <w:rsid w:val="004E2A2D"/>
    <w:rsid w:val="004E4428"/>
    <w:rsid w:val="004F396D"/>
    <w:rsid w:val="00504030"/>
    <w:rsid w:val="00505E5B"/>
    <w:rsid w:val="00506166"/>
    <w:rsid w:val="005133BE"/>
    <w:rsid w:val="00516D04"/>
    <w:rsid w:val="00520796"/>
    <w:rsid w:val="005211BC"/>
    <w:rsid w:val="00522A4F"/>
    <w:rsid w:val="005232E7"/>
    <w:rsid w:val="00523589"/>
    <w:rsid w:val="00525A72"/>
    <w:rsid w:val="00532792"/>
    <w:rsid w:val="00532978"/>
    <w:rsid w:val="00532FE9"/>
    <w:rsid w:val="00535BF8"/>
    <w:rsid w:val="00536405"/>
    <w:rsid w:val="00537C58"/>
    <w:rsid w:val="005422EB"/>
    <w:rsid w:val="005443D4"/>
    <w:rsid w:val="00545D3E"/>
    <w:rsid w:val="005516D4"/>
    <w:rsid w:val="00555308"/>
    <w:rsid w:val="0055568B"/>
    <w:rsid w:val="00563420"/>
    <w:rsid w:val="005639A7"/>
    <w:rsid w:val="005729DB"/>
    <w:rsid w:val="005730E8"/>
    <w:rsid w:val="005749C1"/>
    <w:rsid w:val="005759D3"/>
    <w:rsid w:val="00575B53"/>
    <w:rsid w:val="00577130"/>
    <w:rsid w:val="00586025"/>
    <w:rsid w:val="00587AB2"/>
    <w:rsid w:val="00592585"/>
    <w:rsid w:val="00595AED"/>
    <w:rsid w:val="005A47C4"/>
    <w:rsid w:val="005B6B5D"/>
    <w:rsid w:val="005C3D9B"/>
    <w:rsid w:val="005C70B9"/>
    <w:rsid w:val="005D0784"/>
    <w:rsid w:val="005D1531"/>
    <w:rsid w:val="005D4F8B"/>
    <w:rsid w:val="005D605A"/>
    <w:rsid w:val="005E104C"/>
    <w:rsid w:val="005E3B9A"/>
    <w:rsid w:val="005E41F1"/>
    <w:rsid w:val="005E4642"/>
    <w:rsid w:val="005F1C12"/>
    <w:rsid w:val="005F6CA3"/>
    <w:rsid w:val="006008BD"/>
    <w:rsid w:val="00607580"/>
    <w:rsid w:val="006129F2"/>
    <w:rsid w:val="0061302C"/>
    <w:rsid w:val="00623365"/>
    <w:rsid w:val="00623B4C"/>
    <w:rsid w:val="00624321"/>
    <w:rsid w:val="00625DE8"/>
    <w:rsid w:val="00626613"/>
    <w:rsid w:val="00636A66"/>
    <w:rsid w:val="00643E1C"/>
    <w:rsid w:val="006467DC"/>
    <w:rsid w:val="006530F7"/>
    <w:rsid w:val="006533F2"/>
    <w:rsid w:val="00655247"/>
    <w:rsid w:val="00660A60"/>
    <w:rsid w:val="00660D3E"/>
    <w:rsid w:val="006620AD"/>
    <w:rsid w:val="006636D3"/>
    <w:rsid w:val="00666D59"/>
    <w:rsid w:val="00673862"/>
    <w:rsid w:val="00674737"/>
    <w:rsid w:val="00681E17"/>
    <w:rsid w:val="00685263"/>
    <w:rsid w:val="00685318"/>
    <w:rsid w:val="00686B0A"/>
    <w:rsid w:val="00691428"/>
    <w:rsid w:val="00694230"/>
    <w:rsid w:val="006A1C22"/>
    <w:rsid w:val="006A3FF2"/>
    <w:rsid w:val="006A481C"/>
    <w:rsid w:val="006A516A"/>
    <w:rsid w:val="006B0A3C"/>
    <w:rsid w:val="006B4B86"/>
    <w:rsid w:val="006C04BD"/>
    <w:rsid w:val="006D1E08"/>
    <w:rsid w:val="006D3900"/>
    <w:rsid w:val="006D51B1"/>
    <w:rsid w:val="006E0C4A"/>
    <w:rsid w:val="006E23D1"/>
    <w:rsid w:val="006E3A06"/>
    <w:rsid w:val="006F17B7"/>
    <w:rsid w:val="006F1F02"/>
    <w:rsid w:val="006F3839"/>
    <w:rsid w:val="006F4683"/>
    <w:rsid w:val="007040A7"/>
    <w:rsid w:val="007040E7"/>
    <w:rsid w:val="00704E60"/>
    <w:rsid w:val="0070534E"/>
    <w:rsid w:val="00705C01"/>
    <w:rsid w:val="00706EE3"/>
    <w:rsid w:val="007078D9"/>
    <w:rsid w:val="00707DFF"/>
    <w:rsid w:val="00713B70"/>
    <w:rsid w:val="0072080B"/>
    <w:rsid w:val="00720E16"/>
    <w:rsid w:val="00721115"/>
    <w:rsid w:val="007221B2"/>
    <w:rsid w:val="00722F53"/>
    <w:rsid w:val="007239AE"/>
    <w:rsid w:val="00724B23"/>
    <w:rsid w:val="0072742B"/>
    <w:rsid w:val="0073152A"/>
    <w:rsid w:val="00733114"/>
    <w:rsid w:val="00740103"/>
    <w:rsid w:val="00745268"/>
    <w:rsid w:val="00746D07"/>
    <w:rsid w:val="0075066E"/>
    <w:rsid w:val="007510A5"/>
    <w:rsid w:val="0075237C"/>
    <w:rsid w:val="007569D8"/>
    <w:rsid w:val="00757138"/>
    <w:rsid w:val="0076131C"/>
    <w:rsid w:val="00761CD2"/>
    <w:rsid w:val="00762262"/>
    <w:rsid w:val="007728C5"/>
    <w:rsid w:val="00774FF1"/>
    <w:rsid w:val="00777D82"/>
    <w:rsid w:val="0078403C"/>
    <w:rsid w:val="00784C65"/>
    <w:rsid w:val="00787201"/>
    <w:rsid w:val="007910CE"/>
    <w:rsid w:val="00793D14"/>
    <w:rsid w:val="007948F0"/>
    <w:rsid w:val="00796225"/>
    <w:rsid w:val="007A6437"/>
    <w:rsid w:val="007A7408"/>
    <w:rsid w:val="007B1028"/>
    <w:rsid w:val="007B5B2F"/>
    <w:rsid w:val="007B6CE1"/>
    <w:rsid w:val="007B7C2C"/>
    <w:rsid w:val="007C02C1"/>
    <w:rsid w:val="007C0A89"/>
    <w:rsid w:val="007C2ADE"/>
    <w:rsid w:val="007C2D04"/>
    <w:rsid w:val="007C40F4"/>
    <w:rsid w:val="007D79DB"/>
    <w:rsid w:val="007E28C4"/>
    <w:rsid w:val="007E7785"/>
    <w:rsid w:val="007F20B2"/>
    <w:rsid w:val="007F2843"/>
    <w:rsid w:val="007F4F51"/>
    <w:rsid w:val="007F7483"/>
    <w:rsid w:val="007F7CFE"/>
    <w:rsid w:val="008021F3"/>
    <w:rsid w:val="008032C3"/>
    <w:rsid w:val="0080701C"/>
    <w:rsid w:val="00811AD1"/>
    <w:rsid w:val="00820E0F"/>
    <w:rsid w:val="008211CA"/>
    <w:rsid w:val="00822AA8"/>
    <w:rsid w:val="00823450"/>
    <w:rsid w:val="008258C3"/>
    <w:rsid w:val="00832D01"/>
    <w:rsid w:val="00841532"/>
    <w:rsid w:val="0084758F"/>
    <w:rsid w:val="0085134D"/>
    <w:rsid w:val="008515C4"/>
    <w:rsid w:val="00851F62"/>
    <w:rsid w:val="008575F3"/>
    <w:rsid w:val="0086261B"/>
    <w:rsid w:val="00871106"/>
    <w:rsid w:val="00871132"/>
    <w:rsid w:val="00874545"/>
    <w:rsid w:val="00876C8F"/>
    <w:rsid w:val="008801C7"/>
    <w:rsid w:val="00884637"/>
    <w:rsid w:val="00885772"/>
    <w:rsid w:val="00895871"/>
    <w:rsid w:val="00895D3F"/>
    <w:rsid w:val="00896B08"/>
    <w:rsid w:val="008A05C2"/>
    <w:rsid w:val="008A6B36"/>
    <w:rsid w:val="008B2B74"/>
    <w:rsid w:val="008B2ED0"/>
    <w:rsid w:val="008B3CFC"/>
    <w:rsid w:val="008B6818"/>
    <w:rsid w:val="008B79D8"/>
    <w:rsid w:val="008C104A"/>
    <w:rsid w:val="008C2190"/>
    <w:rsid w:val="008C3B3E"/>
    <w:rsid w:val="008C69EF"/>
    <w:rsid w:val="008D11AF"/>
    <w:rsid w:val="008D2042"/>
    <w:rsid w:val="008D51A3"/>
    <w:rsid w:val="008E1266"/>
    <w:rsid w:val="008E1F17"/>
    <w:rsid w:val="008E35EE"/>
    <w:rsid w:val="008F0770"/>
    <w:rsid w:val="008F131C"/>
    <w:rsid w:val="008F1426"/>
    <w:rsid w:val="008F165E"/>
    <w:rsid w:val="008F6C9D"/>
    <w:rsid w:val="008F7075"/>
    <w:rsid w:val="008F7884"/>
    <w:rsid w:val="009021C9"/>
    <w:rsid w:val="00907533"/>
    <w:rsid w:val="00913401"/>
    <w:rsid w:val="00915040"/>
    <w:rsid w:val="00917A6B"/>
    <w:rsid w:val="009228E2"/>
    <w:rsid w:val="009278CB"/>
    <w:rsid w:val="0093043C"/>
    <w:rsid w:val="00940B53"/>
    <w:rsid w:val="009411FD"/>
    <w:rsid w:val="00941E81"/>
    <w:rsid w:val="0094690A"/>
    <w:rsid w:val="00957CF2"/>
    <w:rsid w:val="00965998"/>
    <w:rsid w:val="00967239"/>
    <w:rsid w:val="009678B7"/>
    <w:rsid w:val="009729F6"/>
    <w:rsid w:val="00972C54"/>
    <w:rsid w:val="00974F91"/>
    <w:rsid w:val="00983589"/>
    <w:rsid w:val="009870AE"/>
    <w:rsid w:val="009A11A2"/>
    <w:rsid w:val="009A165A"/>
    <w:rsid w:val="009A167A"/>
    <w:rsid w:val="009A194B"/>
    <w:rsid w:val="009A1B57"/>
    <w:rsid w:val="009A31D6"/>
    <w:rsid w:val="009A65CD"/>
    <w:rsid w:val="009B2DE9"/>
    <w:rsid w:val="009B2E84"/>
    <w:rsid w:val="009B3DA6"/>
    <w:rsid w:val="009C0EDE"/>
    <w:rsid w:val="009C2C35"/>
    <w:rsid w:val="009C4CFD"/>
    <w:rsid w:val="009C57E0"/>
    <w:rsid w:val="009C5C68"/>
    <w:rsid w:val="009D10FD"/>
    <w:rsid w:val="009D4607"/>
    <w:rsid w:val="009D5521"/>
    <w:rsid w:val="009E5DE3"/>
    <w:rsid w:val="009F4986"/>
    <w:rsid w:val="00A005A8"/>
    <w:rsid w:val="00A03CD0"/>
    <w:rsid w:val="00A144CA"/>
    <w:rsid w:val="00A14558"/>
    <w:rsid w:val="00A1539D"/>
    <w:rsid w:val="00A168A4"/>
    <w:rsid w:val="00A17223"/>
    <w:rsid w:val="00A26CAC"/>
    <w:rsid w:val="00A30D90"/>
    <w:rsid w:val="00A3478B"/>
    <w:rsid w:val="00A41EC3"/>
    <w:rsid w:val="00A45390"/>
    <w:rsid w:val="00A51573"/>
    <w:rsid w:val="00A54076"/>
    <w:rsid w:val="00A54B91"/>
    <w:rsid w:val="00A55C23"/>
    <w:rsid w:val="00A55DB9"/>
    <w:rsid w:val="00A578F6"/>
    <w:rsid w:val="00A57FA0"/>
    <w:rsid w:val="00A60AF5"/>
    <w:rsid w:val="00A6584E"/>
    <w:rsid w:val="00A70C15"/>
    <w:rsid w:val="00A734EB"/>
    <w:rsid w:val="00A73D8B"/>
    <w:rsid w:val="00A7621B"/>
    <w:rsid w:val="00A8050A"/>
    <w:rsid w:val="00A8286B"/>
    <w:rsid w:val="00A83CC7"/>
    <w:rsid w:val="00A844DE"/>
    <w:rsid w:val="00A85B76"/>
    <w:rsid w:val="00A941FC"/>
    <w:rsid w:val="00AB30A4"/>
    <w:rsid w:val="00AB46D7"/>
    <w:rsid w:val="00AB4FDC"/>
    <w:rsid w:val="00AC0987"/>
    <w:rsid w:val="00AC3644"/>
    <w:rsid w:val="00AC3A90"/>
    <w:rsid w:val="00AC4406"/>
    <w:rsid w:val="00AC52D6"/>
    <w:rsid w:val="00AC5AE7"/>
    <w:rsid w:val="00AC7A63"/>
    <w:rsid w:val="00AD0E02"/>
    <w:rsid w:val="00AE05F8"/>
    <w:rsid w:val="00AE24B7"/>
    <w:rsid w:val="00AE502D"/>
    <w:rsid w:val="00AE5A5F"/>
    <w:rsid w:val="00AE6F90"/>
    <w:rsid w:val="00AF17F2"/>
    <w:rsid w:val="00AF2729"/>
    <w:rsid w:val="00AF7EDF"/>
    <w:rsid w:val="00B02CEF"/>
    <w:rsid w:val="00B056C1"/>
    <w:rsid w:val="00B05ECB"/>
    <w:rsid w:val="00B06007"/>
    <w:rsid w:val="00B074D2"/>
    <w:rsid w:val="00B14EF4"/>
    <w:rsid w:val="00B23046"/>
    <w:rsid w:val="00B23DAE"/>
    <w:rsid w:val="00B2635D"/>
    <w:rsid w:val="00B275D0"/>
    <w:rsid w:val="00B466C5"/>
    <w:rsid w:val="00B51DC5"/>
    <w:rsid w:val="00B53329"/>
    <w:rsid w:val="00B53762"/>
    <w:rsid w:val="00B54F88"/>
    <w:rsid w:val="00B55DC3"/>
    <w:rsid w:val="00B5711D"/>
    <w:rsid w:val="00B57637"/>
    <w:rsid w:val="00B57892"/>
    <w:rsid w:val="00B669C1"/>
    <w:rsid w:val="00B67329"/>
    <w:rsid w:val="00B70FB1"/>
    <w:rsid w:val="00B72A3A"/>
    <w:rsid w:val="00B7393F"/>
    <w:rsid w:val="00B74942"/>
    <w:rsid w:val="00B74C60"/>
    <w:rsid w:val="00B80DC1"/>
    <w:rsid w:val="00B82BCF"/>
    <w:rsid w:val="00B82D9D"/>
    <w:rsid w:val="00B83EE5"/>
    <w:rsid w:val="00B85177"/>
    <w:rsid w:val="00B961DA"/>
    <w:rsid w:val="00BA25CA"/>
    <w:rsid w:val="00BA3320"/>
    <w:rsid w:val="00BA4424"/>
    <w:rsid w:val="00BA55D7"/>
    <w:rsid w:val="00BA75C0"/>
    <w:rsid w:val="00BB23CE"/>
    <w:rsid w:val="00BB35ED"/>
    <w:rsid w:val="00BC0FAA"/>
    <w:rsid w:val="00BC3844"/>
    <w:rsid w:val="00BD10F1"/>
    <w:rsid w:val="00BD19D0"/>
    <w:rsid w:val="00BD2374"/>
    <w:rsid w:val="00BD4A7E"/>
    <w:rsid w:val="00BE372C"/>
    <w:rsid w:val="00BE4E1A"/>
    <w:rsid w:val="00BE5C02"/>
    <w:rsid w:val="00BE6C3D"/>
    <w:rsid w:val="00BF0FE9"/>
    <w:rsid w:val="00BF5210"/>
    <w:rsid w:val="00BF6C9F"/>
    <w:rsid w:val="00C01173"/>
    <w:rsid w:val="00C013B4"/>
    <w:rsid w:val="00C01FE0"/>
    <w:rsid w:val="00C02330"/>
    <w:rsid w:val="00C03A40"/>
    <w:rsid w:val="00C04F53"/>
    <w:rsid w:val="00C11A7A"/>
    <w:rsid w:val="00C1542E"/>
    <w:rsid w:val="00C263E3"/>
    <w:rsid w:val="00C31BD8"/>
    <w:rsid w:val="00C32180"/>
    <w:rsid w:val="00C32229"/>
    <w:rsid w:val="00C33CBA"/>
    <w:rsid w:val="00C364CC"/>
    <w:rsid w:val="00C41C05"/>
    <w:rsid w:val="00C44442"/>
    <w:rsid w:val="00C459CE"/>
    <w:rsid w:val="00C45C93"/>
    <w:rsid w:val="00C461F6"/>
    <w:rsid w:val="00C47F0A"/>
    <w:rsid w:val="00C51918"/>
    <w:rsid w:val="00C578AE"/>
    <w:rsid w:val="00C62525"/>
    <w:rsid w:val="00C63058"/>
    <w:rsid w:val="00C70659"/>
    <w:rsid w:val="00C72F7F"/>
    <w:rsid w:val="00C77D24"/>
    <w:rsid w:val="00C81D5F"/>
    <w:rsid w:val="00C876F3"/>
    <w:rsid w:val="00C92B8A"/>
    <w:rsid w:val="00C93D7E"/>
    <w:rsid w:val="00C95288"/>
    <w:rsid w:val="00C97F9C"/>
    <w:rsid w:val="00CA020E"/>
    <w:rsid w:val="00CA6FDE"/>
    <w:rsid w:val="00CB0290"/>
    <w:rsid w:val="00CB0650"/>
    <w:rsid w:val="00CB4554"/>
    <w:rsid w:val="00CB7471"/>
    <w:rsid w:val="00CB7C1E"/>
    <w:rsid w:val="00CC13AC"/>
    <w:rsid w:val="00CC4B0E"/>
    <w:rsid w:val="00CC75DC"/>
    <w:rsid w:val="00CC7810"/>
    <w:rsid w:val="00CD0AEF"/>
    <w:rsid w:val="00CD0D1D"/>
    <w:rsid w:val="00CD1AE0"/>
    <w:rsid w:val="00CD2994"/>
    <w:rsid w:val="00CD37E4"/>
    <w:rsid w:val="00CE10B0"/>
    <w:rsid w:val="00CE1513"/>
    <w:rsid w:val="00CE779B"/>
    <w:rsid w:val="00CF0A94"/>
    <w:rsid w:val="00CF475A"/>
    <w:rsid w:val="00CF50DC"/>
    <w:rsid w:val="00CF7D21"/>
    <w:rsid w:val="00D02C01"/>
    <w:rsid w:val="00D056CE"/>
    <w:rsid w:val="00D07C0C"/>
    <w:rsid w:val="00D15E33"/>
    <w:rsid w:val="00D1763F"/>
    <w:rsid w:val="00D17943"/>
    <w:rsid w:val="00D225BB"/>
    <w:rsid w:val="00D24AF1"/>
    <w:rsid w:val="00D26CE5"/>
    <w:rsid w:val="00D27977"/>
    <w:rsid w:val="00D30548"/>
    <w:rsid w:val="00D30ADA"/>
    <w:rsid w:val="00D369B3"/>
    <w:rsid w:val="00D404C1"/>
    <w:rsid w:val="00D420C2"/>
    <w:rsid w:val="00D4553D"/>
    <w:rsid w:val="00D46312"/>
    <w:rsid w:val="00D46C4B"/>
    <w:rsid w:val="00D4789E"/>
    <w:rsid w:val="00D54005"/>
    <w:rsid w:val="00D5460C"/>
    <w:rsid w:val="00D56CE0"/>
    <w:rsid w:val="00D60EF6"/>
    <w:rsid w:val="00D628C2"/>
    <w:rsid w:val="00D630B2"/>
    <w:rsid w:val="00D665EA"/>
    <w:rsid w:val="00D66DE3"/>
    <w:rsid w:val="00D77A5E"/>
    <w:rsid w:val="00D86D91"/>
    <w:rsid w:val="00D8785E"/>
    <w:rsid w:val="00D9154A"/>
    <w:rsid w:val="00D92EDC"/>
    <w:rsid w:val="00D957D3"/>
    <w:rsid w:val="00D9736D"/>
    <w:rsid w:val="00D97EAF"/>
    <w:rsid w:val="00DA2042"/>
    <w:rsid w:val="00DB1AD2"/>
    <w:rsid w:val="00DB1EB1"/>
    <w:rsid w:val="00DB3E33"/>
    <w:rsid w:val="00DB418C"/>
    <w:rsid w:val="00DB4843"/>
    <w:rsid w:val="00DB5193"/>
    <w:rsid w:val="00DC0CBF"/>
    <w:rsid w:val="00DC3ECF"/>
    <w:rsid w:val="00DC4056"/>
    <w:rsid w:val="00DC4164"/>
    <w:rsid w:val="00DC660D"/>
    <w:rsid w:val="00DC6EE4"/>
    <w:rsid w:val="00DD2034"/>
    <w:rsid w:val="00DE5BE2"/>
    <w:rsid w:val="00DE72E3"/>
    <w:rsid w:val="00DF6163"/>
    <w:rsid w:val="00E00B9A"/>
    <w:rsid w:val="00E00F6D"/>
    <w:rsid w:val="00E0609F"/>
    <w:rsid w:val="00E10161"/>
    <w:rsid w:val="00E13840"/>
    <w:rsid w:val="00E160BE"/>
    <w:rsid w:val="00E20BC5"/>
    <w:rsid w:val="00E240B4"/>
    <w:rsid w:val="00E248D1"/>
    <w:rsid w:val="00E31568"/>
    <w:rsid w:val="00E34B06"/>
    <w:rsid w:val="00E35CFC"/>
    <w:rsid w:val="00E36133"/>
    <w:rsid w:val="00E36B84"/>
    <w:rsid w:val="00E36CF0"/>
    <w:rsid w:val="00E412E0"/>
    <w:rsid w:val="00E513BD"/>
    <w:rsid w:val="00E52308"/>
    <w:rsid w:val="00E52646"/>
    <w:rsid w:val="00E5391C"/>
    <w:rsid w:val="00E57BAD"/>
    <w:rsid w:val="00E620EB"/>
    <w:rsid w:val="00E70C10"/>
    <w:rsid w:val="00E727A5"/>
    <w:rsid w:val="00E727C5"/>
    <w:rsid w:val="00E75690"/>
    <w:rsid w:val="00E829C2"/>
    <w:rsid w:val="00E85F0A"/>
    <w:rsid w:val="00E865EE"/>
    <w:rsid w:val="00E96528"/>
    <w:rsid w:val="00EA26CE"/>
    <w:rsid w:val="00EA4BF4"/>
    <w:rsid w:val="00EA75B7"/>
    <w:rsid w:val="00EB4EB8"/>
    <w:rsid w:val="00EB59FA"/>
    <w:rsid w:val="00EC082F"/>
    <w:rsid w:val="00EC104F"/>
    <w:rsid w:val="00EC1077"/>
    <w:rsid w:val="00EC149E"/>
    <w:rsid w:val="00EC490F"/>
    <w:rsid w:val="00EC54B5"/>
    <w:rsid w:val="00EC643D"/>
    <w:rsid w:val="00EC7903"/>
    <w:rsid w:val="00EC7EB7"/>
    <w:rsid w:val="00ED73B4"/>
    <w:rsid w:val="00ED74FC"/>
    <w:rsid w:val="00EE2541"/>
    <w:rsid w:val="00EE3F53"/>
    <w:rsid w:val="00EE42D1"/>
    <w:rsid w:val="00EE45A6"/>
    <w:rsid w:val="00EE5745"/>
    <w:rsid w:val="00EF50E4"/>
    <w:rsid w:val="00F00A9E"/>
    <w:rsid w:val="00F0713C"/>
    <w:rsid w:val="00F10525"/>
    <w:rsid w:val="00F111E1"/>
    <w:rsid w:val="00F1701B"/>
    <w:rsid w:val="00F20C2C"/>
    <w:rsid w:val="00F2122A"/>
    <w:rsid w:val="00F23531"/>
    <w:rsid w:val="00F238BA"/>
    <w:rsid w:val="00F23D1A"/>
    <w:rsid w:val="00F2710D"/>
    <w:rsid w:val="00F27AC7"/>
    <w:rsid w:val="00F27AFF"/>
    <w:rsid w:val="00F30A1C"/>
    <w:rsid w:val="00F35A57"/>
    <w:rsid w:val="00F3760D"/>
    <w:rsid w:val="00F44364"/>
    <w:rsid w:val="00F44CBD"/>
    <w:rsid w:val="00F4653B"/>
    <w:rsid w:val="00F467C9"/>
    <w:rsid w:val="00F50E5C"/>
    <w:rsid w:val="00F53D2C"/>
    <w:rsid w:val="00F54D9F"/>
    <w:rsid w:val="00F57559"/>
    <w:rsid w:val="00F57CC2"/>
    <w:rsid w:val="00F60575"/>
    <w:rsid w:val="00F60E23"/>
    <w:rsid w:val="00F61401"/>
    <w:rsid w:val="00F66BBE"/>
    <w:rsid w:val="00F752DB"/>
    <w:rsid w:val="00F84605"/>
    <w:rsid w:val="00F909DE"/>
    <w:rsid w:val="00F9401B"/>
    <w:rsid w:val="00F94D72"/>
    <w:rsid w:val="00F95369"/>
    <w:rsid w:val="00F95DD7"/>
    <w:rsid w:val="00F96069"/>
    <w:rsid w:val="00FA0048"/>
    <w:rsid w:val="00FB40C8"/>
    <w:rsid w:val="00FB4841"/>
    <w:rsid w:val="00FD4B7A"/>
    <w:rsid w:val="00FD5C8E"/>
    <w:rsid w:val="00FD7D6B"/>
    <w:rsid w:val="00FE20F1"/>
    <w:rsid w:val="00FE3A01"/>
    <w:rsid w:val="00FE4323"/>
    <w:rsid w:val="00FE4DCA"/>
    <w:rsid w:val="00FF0C40"/>
    <w:rsid w:val="00FF2667"/>
    <w:rsid w:val="00FF5986"/>
    <w:rsid w:val="00FF6BB6"/>
    <w:rsid w:val="00FF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38182"/>
  <w15:chartTrackingRefBased/>
  <w15:docId w15:val="{DF7FC633-6DDE-4115-8010-34DCF2A8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521"/>
    <w:pPr>
      <w:spacing w:after="200" w:line="276" w:lineRule="auto"/>
    </w:pPr>
    <w:rPr>
      <w:rFonts w:ascii="Calibri" w:hAnsi="Calibri" w:cs="Arial"/>
      <w:sz w:val="22"/>
      <w:szCs w:val="22"/>
      <w:lang w:val="id-ID"/>
    </w:rPr>
  </w:style>
  <w:style w:type="paragraph" w:styleId="Heading1">
    <w:name w:val="heading 1"/>
    <w:basedOn w:val="Normal"/>
    <w:next w:val="Normal"/>
    <w:link w:val="Heading1Char1"/>
    <w:qFormat/>
    <w:rsid w:val="009D552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1"/>
    <w:qFormat/>
    <w:rsid w:val="009D5521"/>
    <w:pPr>
      <w:keepNext/>
      <w:jc w:val="both"/>
      <w:outlineLvl w:val="1"/>
    </w:pPr>
    <w:rPr>
      <w:b/>
      <w:bCs/>
      <w:lang w:val="en-GB"/>
    </w:rPr>
  </w:style>
  <w:style w:type="paragraph" w:styleId="Heading3">
    <w:name w:val="heading 3"/>
    <w:basedOn w:val="Normal"/>
    <w:next w:val="Normal"/>
    <w:link w:val="Heading3Char"/>
    <w:qFormat/>
    <w:rsid w:val="009D5521"/>
    <w:pPr>
      <w:keepNext/>
      <w:spacing w:before="240" w:after="60"/>
      <w:outlineLvl w:val="2"/>
    </w:pPr>
    <w:rPr>
      <w:rFonts w:ascii="Arial" w:hAnsi="Arial"/>
      <w:b/>
      <w:bCs/>
      <w:sz w:val="26"/>
      <w:szCs w:val="26"/>
    </w:rPr>
  </w:style>
  <w:style w:type="paragraph" w:styleId="Heading4">
    <w:name w:val="heading 4"/>
    <w:basedOn w:val="Normal"/>
    <w:link w:val="Heading4Char"/>
    <w:qFormat/>
    <w:rsid w:val="009D5521"/>
    <w:pPr>
      <w:spacing w:before="100" w:beforeAutospacing="1" w:after="100" w:afterAutospacing="1" w:line="240" w:lineRule="auto"/>
      <w:outlineLvl w:val="3"/>
    </w:pPr>
    <w:rPr>
      <w:rFonts w:ascii="Times New Roman" w:hAnsi="Times New Roman" w:cs="Times New Roman"/>
      <w:sz w:val="20"/>
      <w:szCs w:val="20"/>
      <w:lang w:val="en-US"/>
    </w:rPr>
  </w:style>
  <w:style w:type="paragraph" w:styleId="Heading6">
    <w:name w:val="heading 6"/>
    <w:basedOn w:val="Normal"/>
    <w:next w:val="Normal"/>
    <w:qFormat/>
    <w:rsid w:val="009D552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9D5521"/>
    <w:rPr>
      <w:rFonts w:ascii="Arial" w:hAnsi="Arial" w:cs="Arial"/>
      <w:b/>
      <w:bCs/>
      <w:kern w:val="32"/>
      <w:sz w:val="32"/>
      <w:szCs w:val="32"/>
      <w:lang w:val="id-ID" w:eastAsia="en-US" w:bidi="ar-SA"/>
    </w:rPr>
  </w:style>
  <w:style w:type="character" w:customStyle="1" w:styleId="Heading2Char1">
    <w:name w:val="Heading 2 Char1"/>
    <w:link w:val="Heading2"/>
    <w:semiHidden/>
    <w:locked/>
    <w:rsid w:val="009D5521"/>
    <w:rPr>
      <w:rFonts w:ascii="Calibri" w:hAnsi="Calibri" w:cs="Arial"/>
      <w:b/>
      <w:bCs/>
      <w:sz w:val="22"/>
      <w:szCs w:val="22"/>
      <w:lang w:val="en-GB" w:eastAsia="en-US" w:bidi="ar-SA"/>
    </w:rPr>
  </w:style>
  <w:style w:type="character" w:customStyle="1" w:styleId="Heading3Char">
    <w:name w:val="Heading 3 Char"/>
    <w:link w:val="Heading3"/>
    <w:locked/>
    <w:rsid w:val="00F0713C"/>
    <w:rPr>
      <w:rFonts w:ascii="Arial" w:hAnsi="Arial" w:cs="Arial"/>
      <w:b/>
      <w:bCs/>
      <w:sz w:val="26"/>
      <w:szCs w:val="26"/>
      <w:lang w:val="id-ID" w:eastAsia="en-US" w:bidi="ar-SA"/>
    </w:rPr>
  </w:style>
  <w:style w:type="character" w:customStyle="1" w:styleId="Heading4Char">
    <w:name w:val="Heading 4 Char"/>
    <w:link w:val="Heading4"/>
    <w:rsid w:val="009D5521"/>
    <w:rPr>
      <w:lang w:bidi="ar-SA"/>
    </w:rPr>
  </w:style>
  <w:style w:type="paragraph" w:styleId="FootnoteText">
    <w:name w:val="footnote text"/>
    <w:aliases w:val="Footnote Text Char Char Char,Footnote Text Char Char Char Char Char Char,Footnote Text Char Char Char Char, Char,Char"/>
    <w:basedOn w:val="Normal"/>
    <w:link w:val="FootnoteTextChar4"/>
    <w:uiPriority w:val="99"/>
    <w:semiHidden/>
    <w:rsid w:val="009D5521"/>
    <w:rPr>
      <w:sz w:val="20"/>
      <w:szCs w:val="20"/>
    </w:rPr>
  </w:style>
  <w:style w:type="character" w:customStyle="1" w:styleId="FootnoteTextChar4">
    <w:name w:val="Footnote Text Char4"/>
    <w:aliases w:val="Footnote Text Char Char Char Char1,Footnote Text Char Char Char Char Char Char Char,Footnote Text Char Char Char Char Char, Char Char,Char Char3"/>
    <w:link w:val="FootnoteText"/>
    <w:semiHidden/>
    <w:locked/>
    <w:rsid w:val="009D5521"/>
    <w:rPr>
      <w:rFonts w:ascii="Calibri" w:hAnsi="Calibri" w:cs="Arial"/>
      <w:lang w:val="id-ID" w:eastAsia="en-US" w:bidi="ar-SA"/>
    </w:rPr>
  </w:style>
  <w:style w:type="character" w:styleId="FootnoteReference">
    <w:name w:val="footnote reference"/>
    <w:semiHidden/>
    <w:rsid w:val="009D5521"/>
    <w:rPr>
      <w:vertAlign w:val="superscript"/>
    </w:rPr>
  </w:style>
  <w:style w:type="paragraph" w:styleId="Header">
    <w:name w:val="header"/>
    <w:aliases w:val="HEADER kiri"/>
    <w:basedOn w:val="Normal"/>
    <w:link w:val="HeaderChar"/>
    <w:rsid w:val="007F7483"/>
    <w:pPr>
      <w:tabs>
        <w:tab w:val="center" w:pos="4153"/>
        <w:tab w:val="right" w:pos="8306"/>
      </w:tabs>
    </w:pPr>
    <w:rPr>
      <w:rFonts w:cs="Angsana New"/>
      <w:spacing w:val="-6"/>
      <w:szCs w:val="25"/>
    </w:rPr>
  </w:style>
  <w:style w:type="character" w:customStyle="1" w:styleId="HeaderChar">
    <w:name w:val="Header Char"/>
    <w:aliases w:val="HEADER kiri Char"/>
    <w:link w:val="Header"/>
    <w:semiHidden/>
    <w:locked/>
    <w:rsid w:val="007F7483"/>
    <w:rPr>
      <w:rFonts w:ascii="Calibri" w:hAnsi="Calibri" w:cs="Angsana New"/>
      <w:spacing w:val="-6"/>
      <w:sz w:val="22"/>
      <w:szCs w:val="25"/>
      <w:lang w:val="id-ID" w:eastAsia="en-US" w:bidi="ar-SA"/>
    </w:rPr>
  </w:style>
  <w:style w:type="paragraph" w:customStyle="1" w:styleId="FOOTER-edisi">
    <w:name w:val="FOOTER-edisi"/>
    <w:basedOn w:val="Footer"/>
    <w:rsid w:val="009D5521"/>
    <w:pPr>
      <w:spacing w:after="0" w:line="240" w:lineRule="auto"/>
    </w:pPr>
    <w:rPr>
      <w:rFonts w:ascii="Cambria" w:hAnsi="Cambria" w:cs="Arabic Typesetting"/>
      <w:spacing w:val="-10"/>
      <w:sz w:val="21"/>
    </w:rPr>
  </w:style>
  <w:style w:type="paragraph" w:styleId="Footer">
    <w:name w:val="footer"/>
    <w:basedOn w:val="Normal"/>
    <w:link w:val="FooterChar10"/>
    <w:uiPriority w:val="99"/>
    <w:rsid w:val="009D5521"/>
    <w:pPr>
      <w:tabs>
        <w:tab w:val="center" w:pos="4320"/>
        <w:tab w:val="right" w:pos="8640"/>
      </w:tabs>
    </w:pPr>
  </w:style>
  <w:style w:type="character" w:customStyle="1" w:styleId="FooterChar10">
    <w:name w:val="Footer Char10"/>
    <w:link w:val="Footer"/>
    <w:semiHidden/>
    <w:locked/>
    <w:rsid w:val="009D5521"/>
    <w:rPr>
      <w:rFonts w:ascii="Calibri" w:hAnsi="Calibri" w:cs="Arial"/>
      <w:sz w:val="22"/>
      <w:szCs w:val="22"/>
      <w:lang w:val="id-ID" w:eastAsia="en-US" w:bidi="ar-SA"/>
    </w:rPr>
  </w:style>
  <w:style w:type="paragraph" w:customStyle="1" w:styleId="ISI">
    <w:name w:val="ISI"/>
    <w:basedOn w:val="Normal"/>
    <w:link w:val="ISIChar"/>
    <w:rsid w:val="002967ED"/>
    <w:pPr>
      <w:spacing w:after="80" w:line="300" w:lineRule="exact"/>
      <w:ind w:firstLine="340"/>
      <w:jc w:val="both"/>
    </w:pPr>
    <w:rPr>
      <w:rFonts w:ascii="Cambria" w:hAnsi="Cambria" w:cs="Cambria"/>
      <w:spacing w:val="-8"/>
    </w:rPr>
  </w:style>
  <w:style w:type="character" w:customStyle="1" w:styleId="ISIChar">
    <w:name w:val="ISI Char"/>
    <w:link w:val="ISI"/>
    <w:rsid w:val="002967ED"/>
    <w:rPr>
      <w:rFonts w:ascii="Cambria" w:hAnsi="Cambria" w:cs="Cambria"/>
      <w:spacing w:val="-8"/>
      <w:sz w:val="22"/>
      <w:szCs w:val="22"/>
      <w:lang w:val="id-ID" w:eastAsia="en-US" w:bidi="ar-SA"/>
    </w:rPr>
  </w:style>
  <w:style w:type="paragraph" w:customStyle="1" w:styleId="StyleISIPOINTJUSTIAfter6pt">
    <w:name w:val="Style ISI_POINT_JUSTI + After:  6 pt"/>
    <w:basedOn w:val="Normal"/>
    <w:semiHidden/>
    <w:rsid w:val="00A30D90"/>
    <w:pPr>
      <w:spacing w:before="20" w:after="120" w:line="320" w:lineRule="exact"/>
      <w:ind w:left="850" w:hanging="425"/>
      <w:jc w:val="both"/>
    </w:pPr>
    <w:rPr>
      <w:rFonts w:ascii="Arabic Typesetting" w:hAnsi="Arabic Typesetting"/>
      <w:spacing w:val="-8"/>
      <w:sz w:val="36"/>
    </w:rPr>
  </w:style>
  <w:style w:type="paragraph" w:customStyle="1" w:styleId="StyleIABSSSLatinBoldGray-80">
    <w:name w:val="Style I_ABSSS + (Latin) Bold Gray-80%"/>
    <w:basedOn w:val="IABSSS"/>
    <w:rsid w:val="00787201"/>
    <w:rPr>
      <w:rFonts w:ascii="Calibri" w:hAnsi="Calibri"/>
      <w:b/>
      <w:color w:val="333333"/>
      <w:sz w:val="20"/>
    </w:rPr>
  </w:style>
  <w:style w:type="paragraph" w:customStyle="1" w:styleId="StyleISIPOINTJustified">
    <w:name w:val="Style ISI_POINT + Justified"/>
    <w:basedOn w:val="Normal"/>
    <w:semiHidden/>
    <w:rsid w:val="009D5521"/>
    <w:pPr>
      <w:spacing w:after="60" w:line="260" w:lineRule="exact"/>
      <w:ind w:left="680" w:hanging="340"/>
      <w:jc w:val="both"/>
    </w:pPr>
    <w:rPr>
      <w:rFonts w:ascii="Arabic Typesetting" w:hAnsi="Arabic Typesetting"/>
      <w:spacing w:val="-12"/>
      <w:sz w:val="36"/>
    </w:rPr>
  </w:style>
  <w:style w:type="paragraph" w:customStyle="1" w:styleId="ISI-TERJEMAH">
    <w:name w:val="ISI-TERJEMAH"/>
    <w:basedOn w:val="Normal"/>
    <w:link w:val="ISI-TERJEMAHChar"/>
    <w:rsid w:val="009D5521"/>
    <w:pPr>
      <w:spacing w:before="20" w:after="40" w:line="200" w:lineRule="exact"/>
      <w:ind w:left="425"/>
      <w:jc w:val="both"/>
    </w:pPr>
    <w:rPr>
      <w:i/>
      <w:sz w:val="20"/>
      <w:lang w:val="sv-SE"/>
    </w:rPr>
  </w:style>
  <w:style w:type="character" w:customStyle="1" w:styleId="ISI-TERJEMAHChar">
    <w:name w:val="ISI-TERJEMAH Char"/>
    <w:link w:val="ISI-TERJEMAH"/>
    <w:rsid w:val="009D5521"/>
    <w:rPr>
      <w:rFonts w:ascii="Calibri" w:hAnsi="Calibri" w:cs="Arial"/>
      <w:i/>
      <w:szCs w:val="22"/>
      <w:lang w:val="sv-SE" w:eastAsia="en-US" w:bidi="ar-SA"/>
    </w:rPr>
  </w:style>
  <w:style w:type="paragraph" w:customStyle="1" w:styleId="ISIFOOTNOTE">
    <w:name w:val="ISI_FOOTNOTE"/>
    <w:basedOn w:val="FootnoteText"/>
    <w:link w:val="ISIFOOTNOTEChar"/>
    <w:rsid w:val="009D5521"/>
    <w:pPr>
      <w:spacing w:after="60" w:line="200" w:lineRule="exact"/>
      <w:ind w:firstLine="227"/>
      <w:jc w:val="both"/>
    </w:pPr>
    <w:rPr>
      <w:rFonts w:ascii="Cambria" w:hAnsi="Cambria"/>
      <w:spacing w:val="-10"/>
      <w:sz w:val="18"/>
    </w:rPr>
  </w:style>
  <w:style w:type="character" w:customStyle="1" w:styleId="ISIFOOTNOTEChar">
    <w:name w:val="ISI_FOOTNOTE Char"/>
    <w:link w:val="ISIFOOTNOTE"/>
    <w:rsid w:val="009D5521"/>
    <w:rPr>
      <w:rFonts w:ascii="Cambria" w:hAnsi="Cambria" w:cs="Arial"/>
      <w:spacing w:val="-10"/>
      <w:sz w:val="18"/>
      <w:lang w:val="id-ID" w:eastAsia="en-US" w:bidi="ar-SA"/>
    </w:rPr>
  </w:style>
  <w:style w:type="paragraph" w:customStyle="1" w:styleId="I-POINT">
    <w:name w:val="I-POINT"/>
    <w:basedOn w:val="Normal"/>
    <w:link w:val="I-POINTCharChar"/>
    <w:rsid w:val="006129F2"/>
    <w:pPr>
      <w:spacing w:before="180" w:after="80" w:line="300" w:lineRule="exact"/>
      <w:ind w:left="340" w:hanging="340"/>
      <w:outlineLvl w:val="2"/>
    </w:pPr>
    <w:rPr>
      <w:b/>
      <w:bCs/>
      <w:spacing w:val="-4"/>
      <w:sz w:val="24"/>
      <w:szCs w:val="26"/>
    </w:rPr>
  </w:style>
  <w:style w:type="character" w:customStyle="1" w:styleId="I-POINTCharChar">
    <w:name w:val="I-POINT Char Char"/>
    <w:link w:val="I-POINT"/>
    <w:rsid w:val="006129F2"/>
    <w:rPr>
      <w:rFonts w:ascii="Calibri" w:hAnsi="Calibri" w:cs="Arial"/>
      <w:b/>
      <w:bCs/>
      <w:spacing w:val="-4"/>
      <w:sz w:val="24"/>
      <w:szCs w:val="26"/>
      <w:lang w:val="id-ID" w:eastAsia="en-US"/>
    </w:rPr>
  </w:style>
  <w:style w:type="character" w:styleId="PageNumber">
    <w:name w:val="page number"/>
    <w:basedOn w:val="DefaultParagraphFont"/>
    <w:semiHidden/>
    <w:rsid w:val="009D5521"/>
  </w:style>
  <w:style w:type="paragraph" w:styleId="ListParagraph">
    <w:name w:val="List Paragraph"/>
    <w:basedOn w:val="Normal"/>
    <w:uiPriority w:val="34"/>
    <w:qFormat/>
    <w:rsid w:val="009D5521"/>
    <w:pPr>
      <w:spacing w:before="100" w:beforeAutospacing="1" w:after="100" w:afterAutospacing="1"/>
      <w:ind w:left="720"/>
    </w:pPr>
    <w:rPr>
      <w:sz w:val="20"/>
      <w:szCs w:val="20"/>
    </w:rPr>
  </w:style>
  <w:style w:type="paragraph" w:styleId="EndnoteText">
    <w:name w:val="endnote text"/>
    <w:basedOn w:val="Normal"/>
    <w:link w:val="EndnoteTextChar"/>
    <w:semiHidden/>
    <w:rsid w:val="009D5521"/>
    <w:pPr>
      <w:spacing w:beforeAutospacing="1" w:afterAutospacing="1"/>
    </w:pPr>
    <w:rPr>
      <w:sz w:val="20"/>
      <w:szCs w:val="20"/>
    </w:rPr>
  </w:style>
  <w:style w:type="character" w:customStyle="1" w:styleId="EndnoteTextChar">
    <w:name w:val="Endnote Text Char"/>
    <w:link w:val="EndnoteText"/>
    <w:locked/>
    <w:rsid w:val="009D5521"/>
    <w:rPr>
      <w:rFonts w:ascii="Calibri" w:hAnsi="Calibri" w:cs="Arial"/>
      <w:lang w:val="id-ID" w:eastAsia="en-US" w:bidi="ar-SA"/>
    </w:rPr>
  </w:style>
  <w:style w:type="paragraph" w:customStyle="1" w:styleId="Iabs">
    <w:name w:val="I_abs"/>
    <w:basedOn w:val="Normal"/>
    <w:link w:val="IabsChar"/>
    <w:rsid w:val="004C1E7B"/>
    <w:pPr>
      <w:spacing w:before="120" w:after="120"/>
      <w:ind w:left="567" w:right="567"/>
    </w:pPr>
    <w:rPr>
      <w:b/>
    </w:rPr>
  </w:style>
  <w:style w:type="character" w:customStyle="1" w:styleId="IabsChar">
    <w:name w:val="I_abs Char"/>
    <w:link w:val="Iabs"/>
    <w:rsid w:val="004C1E7B"/>
    <w:rPr>
      <w:rFonts w:ascii="Calibri" w:hAnsi="Calibri" w:cs="Arial"/>
      <w:b/>
      <w:sz w:val="22"/>
      <w:szCs w:val="22"/>
      <w:lang w:val="id-ID" w:eastAsia="en-US" w:bidi="ar-SA"/>
    </w:rPr>
  </w:style>
  <w:style w:type="paragraph" w:customStyle="1" w:styleId="IPenket">
    <w:name w:val="I_Pen_ket"/>
    <w:basedOn w:val="Normal"/>
    <w:link w:val="IPenketChar"/>
    <w:rsid w:val="0030120C"/>
    <w:pPr>
      <w:spacing w:before="60" w:after="360" w:line="240" w:lineRule="exact"/>
      <w:jc w:val="center"/>
    </w:pPr>
    <w:rPr>
      <w:rFonts w:ascii="Cambria" w:hAnsi="Cambria"/>
      <w:spacing w:val="-8"/>
      <w:sz w:val="20"/>
    </w:rPr>
  </w:style>
  <w:style w:type="character" w:customStyle="1" w:styleId="IPenketChar">
    <w:name w:val="I_Pen_ket Char"/>
    <w:link w:val="IPenket"/>
    <w:rsid w:val="0030120C"/>
    <w:rPr>
      <w:rFonts w:ascii="Cambria" w:hAnsi="Cambria" w:cs="Arial"/>
      <w:spacing w:val="-8"/>
      <w:szCs w:val="22"/>
      <w:lang w:val="id-ID" w:eastAsia="en-US" w:bidi="ar-SA"/>
    </w:rPr>
  </w:style>
  <w:style w:type="paragraph" w:customStyle="1" w:styleId="Ipoint-1">
    <w:name w:val="I_point-1"/>
    <w:basedOn w:val="Normal"/>
    <w:link w:val="Ipoint-1CharChar"/>
    <w:rsid w:val="000D48AA"/>
    <w:pPr>
      <w:spacing w:before="180" w:after="120" w:line="300" w:lineRule="exact"/>
      <w:ind w:left="340"/>
      <w:outlineLvl w:val="3"/>
    </w:pPr>
    <w:rPr>
      <w:rFonts w:ascii="Cambria" w:hAnsi="Cambria"/>
      <w:b/>
      <w:bCs/>
      <w:spacing w:val="-12"/>
    </w:rPr>
  </w:style>
  <w:style w:type="character" w:customStyle="1" w:styleId="Ipoint-1CharChar">
    <w:name w:val="I_point-1 Char Char"/>
    <w:link w:val="Ipoint-1"/>
    <w:rsid w:val="000D48AA"/>
    <w:rPr>
      <w:rFonts w:ascii="Cambria" w:hAnsi="Cambria" w:cs="Arial"/>
      <w:b/>
      <w:bCs/>
      <w:spacing w:val="-12"/>
      <w:sz w:val="22"/>
      <w:szCs w:val="22"/>
      <w:lang w:val="id-ID" w:eastAsia="en-US"/>
    </w:rPr>
  </w:style>
  <w:style w:type="paragraph" w:customStyle="1" w:styleId="I-Kutipan">
    <w:name w:val="I-Kutipan"/>
    <w:basedOn w:val="ISI-TERJEMAH"/>
    <w:link w:val="I-KutipanChar"/>
    <w:rsid w:val="009D5521"/>
    <w:pPr>
      <w:spacing w:before="120" w:after="120" w:line="220" w:lineRule="exact"/>
      <w:ind w:left="340"/>
    </w:pPr>
    <w:rPr>
      <w:rFonts w:ascii="Cambria" w:hAnsi="Cambria"/>
      <w:i w:val="0"/>
      <w:iCs/>
      <w:spacing w:val="-8"/>
      <w:sz w:val="21"/>
    </w:rPr>
  </w:style>
  <w:style w:type="character" w:customStyle="1" w:styleId="I-KutipanChar">
    <w:name w:val="I-Kutipan Char"/>
    <w:link w:val="I-Kutipan"/>
    <w:rsid w:val="009D5521"/>
    <w:rPr>
      <w:rFonts w:ascii="Cambria" w:hAnsi="Cambria" w:cs="Arial"/>
      <w:iCs/>
      <w:spacing w:val="-8"/>
      <w:sz w:val="21"/>
      <w:szCs w:val="22"/>
      <w:lang w:val="sv-SE" w:eastAsia="en-US" w:bidi="ar-SA"/>
    </w:rPr>
  </w:style>
  <w:style w:type="paragraph" w:customStyle="1" w:styleId="Ijusti-masuk">
    <w:name w:val="I_justi-masuk"/>
    <w:basedOn w:val="Normal"/>
    <w:rsid w:val="00A30D90"/>
    <w:pPr>
      <w:spacing w:before="20" w:after="20" w:line="320" w:lineRule="exact"/>
      <w:ind w:left="709" w:hanging="284"/>
      <w:jc w:val="both"/>
    </w:pPr>
    <w:rPr>
      <w:rFonts w:ascii="Arabic Typesetting" w:hAnsi="Arabic Typesetting"/>
      <w:spacing w:val="-8"/>
      <w:sz w:val="36"/>
    </w:rPr>
  </w:style>
  <w:style w:type="paragraph" w:customStyle="1" w:styleId="ITOPKey">
    <w:name w:val="I_TOP_Key"/>
    <w:basedOn w:val="IAKEY"/>
    <w:rsid w:val="00DB1AD2"/>
    <w:rPr>
      <w:rFonts w:ascii="Calibri" w:hAnsi="Calibri"/>
      <w:sz w:val="20"/>
    </w:rPr>
  </w:style>
  <w:style w:type="paragraph" w:customStyle="1" w:styleId="IKeyWords">
    <w:name w:val="I_KeyWords"/>
    <w:basedOn w:val="IAKEY"/>
    <w:link w:val="IKeyWordsChar"/>
    <w:rsid w:val="00DB1AD2"/>
    <w:rPr>
      <w:b w:val="0"/>
      <w:sz w:val="16"/>
      <w:szCs w:val="16"/>
    </w:rPr>
  </w:style>
  <w:style w:type="paragraph" w:customStyle="1" w:styleId="I-DAPUSTAKA">
    <w:name w:val="I-DAPUSTAKA"/>
    <w:basedOn w:val="ISI"/>
    <w:link w:val="I-DAPUSTAKAChar"/>
    <w:rsid w:val="009D5521"/>
    <w:pPr>
      <w:spacing w:after="120" w:line="240" w:lineRule="exact"/>
      <w:ind w:left="567" w:hanging="567"/>
    </w:pPr>
  </w:style>
  <w:style w:type="character" w:customStyle="1" w:styleId="I-DAPUSTAKAChar">
    <w:name w:val="I-DAPUSTAKA Char"/>
    <w:basedOn w:val="ISIChar"/>
    <w:link w:val="I-DAPUSTAKA"/>
    <w:rsid w:val="009D5521"/>
    <w:rPr>
      <w:rFonts w:ascii="Cambria" w:hAnsi="Cambria" w:cs="Cambria"/>
      <w:spacing w:val="-8"/>
      <w:sz w:val="22"/>
      <w:szCs w:val="22"/>
      <w:lang w:val="id-ID" w:eastAsia="en-US" w:bidi="ar-SA"/>
    </w:rPr>
  </w:style>
  <w:style w:type="paragraph" w:styleId="BodyText">
    <w:name w:val="Body Text"/>
    <w:basedOn w:val="Normal"/>
    <w:link w:val="BodyTextChar"/>
    <w:semiHidden/>
    <w:rsid w:val="009D5521"/>
    <w:pPr>
      <w:jc w:val="both"/>
    </w:pPr>
    <w:rPr>
      <w:lang w:val="en-GB"/>
    </w:rPr>
  </w:style>
  <w:style w:type="character" w:customStyle="1" w:styleId="BodyTextChar">
    <w:name w:val="Body Text Char"/>
    <w:link w:val="BodyText"/>
    <w:semiHidden/>
    <w:locked/>
    <w:rsid w:val="009D5521"/>
    <w:rPr>
      <w:rFonts w:ascii="Calibri" w:hAnsi="Calibri" w:cs="Arial"/>
      <w:sz w:val="22"/>
      <w:szCs w:val="22"/>
      <w:lang w:val="en-GB" w:eastAsia="en-US" w:bidi="ar-SA"/>
    </w:rPr>
  </w:style>
  <w:style w:type="paragraph" w:styleId="BodyTextIndent">
    <w:name w:val="Body Text Indent"/>
    <w:basedOn w:val="Normal"/>
    <w:link w:val="BodyTextIndentChar"/>
    <w:semiHidden/>
    <w:rsid w:val="009D5521"/>
    <w:pPr>
      <w:ind w:firstLine="720"/>
      <w:jc w:val="both"/>
    </w:pPr>
  </w:style>
  <w:style w:type="character" w:customStyle="1" w:styleId="BodyTextIndentChar">
    <w:name w:val="Body Text Indent Char"/>
    <w:link w:val="BodyTextIndent"/>
    <w:semiHidden/>
    <w:locked/>
    <w:rsid w:val="009D5521"/>
    <w:rPr>
      <w:rFonts w:ascii="Calibri" w:hAnsi="Calibri" w:cs="Arial"/>
      <w:sz w:val="22"/>
      <w:szCs w:val="22"/>
      <w:lang w:val="id-ID" w:eastAsia="en-US" w:bidi="ar-SA"/>
    </w:rPr>
  </w:style>
  <w:style w:type="paragraph" w:customStyle="1" w:styleId="Ipoia">
    <w:name w:val="I_poi.a"/>
    <w:basedOn w:val="Ipoint-1"/>
    <w:rsid w:val="00BD10F1"/>
    <w:pPr>
      <w:outlineLvl w:val="4"/>
    </w:pPr>
    <w:rPr>
      <w:rFonts w:ascii="Calibri" w:hAnsi="Calibri"/>
      <w:szCs w:val="23"/>
      <w:lang w:val="sv-SE"/>
    </w:rPr>
  </w:style>
  <w:style w:type="paragraph" w:customStyle="1" w:styleId="ARAB">
    <w:name w:val="ARAB"/>
    <w:basedOn w:val="Normal"/>
    <w:link w:val="ARABChar"/>
    <w:rsid w:val="009D5521"/>
    <w:pPr>
      <w:widowControl w:val="0"/>
      <w:autoSpaceDE w:val="0"/>
      <w:autoSpaceDN w:val="0"/>
      <w:bidi/>
      <w:spacing w:before="120" w:after="120"/>
      <w:ind w:right="425"/>
      <w:jc w:val="both"/>
    </w:pPr>
    <w:rPr>
      <w:rFonts w:ascii="KFGQPC Uthman Taha Naskh" w:hAnsi="KFGQPC Uthman Taha Naskh" w:cs="KFGQPC Uthman Taha Naskh"/>
      <w:spacing w:val="-16"/>
      <w:sz w:val="32"/>
      <w:szCs w:val="32"/>
    </w:rPr>
  </w:style>
  <w:style w:type="character" w:customStyle="1" w:styleId="ARABChar">
    <w:name w:val="ARAB Char"/>
    <w:link w:val="ARAB"/>
    <w:rsid w:val="009D5521"/>
    <w:rPr>
      <w:rFonts w:ascii="KFGQPC Uthman Taha Naskh" w:hAnsi="KFGQPC Uthman Taha Naskh" w:cs="KFGQPC Uthman Taha Naskh"/>
      <w:spacing w:val="-16"/>
      <w:sz w:val="32"/>
      <w:szCs w:val="32"/>
      <w:lang w:val="id-ID" w:eastAsia="en-US" w:bidi="ar-SA"/>
    </w:rPr>
  </w:style>
  <w:style w:type="paragraph" w:styleId="Title">
    <w:name w:val="Title"/>
    <w:basedOn w:val="Normal"/>
    <w:link w:val="TitleChar"/>
    <w:qFormat/>
    <w:rsid w:val="009D5521"/>
    <w:pPr>
      <w:jc w:val="center"/>
    </w:pPr>
    <w:rPr>
      <w:b/>
      <w:bCs/>
    </w:rPr>
  </w:style>
  <w:style w:type="character" w:customStyle="1" w:styleId="TitleChar">
    <w:name w:val="Title Char"/>
    <w:link w:val="Title"/>
    <w:locked/>
    <w:rsid w:val="009D5521"/>
    <w:rPr>
      <w:rFonts w:ascii="Calibri" w:hAnsi="Calibri" w:cs="Arial"/>
      <w:b/>
      <w:bCs/>
      <w:sz w:val="22"/>
      <w:szCs w:val="22"/>
      <w:lang w:val="id-ID" w:eastAsia="en-US" w:bidi="ar-SA"/>
    </w:rPr>
  </w:style>
  <w:style w:type="character" w:styleId="Strong">
    <w:name w:val="Strong"/>
    <w:qFormat/>
    <w:rsid w:val="009D5521"/>
    <w:rPr>
      <w:b/>
      <w:bCs/>
    </w:rPr>
  </w:style>
  <w:style w:type="paragraph" w:styleId="BodyTextIndent3">
    <w:name w:val="Body Text Indent 3"/>
    <w:basedOn w:val="Normal"/>
    <w:link w:val="BodyTextIndent3Char"/>
    <w:semiHidden/>
    <w:rsid w:val="009D5521"/>
    <w:pPr>
      <w:spacing w:after="120"/>
      <w:ind w:left="360"/>
    </w:pPr>
    <w:rPr>
      <w:sz w:val="16"/>
      <w:szCs w:val="16"/>
    </w:rPr>
  </w:style>
  <w:style w:type="character" w:customStyle="1" w:styleId="BodyTextIndent3Char">
    <w:name w:val="Body Text Indent 3 Char"/>
    <w:link w:val="BodyTextIndent3"/>
    <w:semiHidden/>
    <w:locked/>
    <w:rsid w:val="009D5521"/>
    <w:rPr>
      <w:rFonts w:ascii="Calibri" w:hAnsi="Calibri" w:cs="Arial"/>
      <w:sz w:val="16"/>
      <w:szCs w:val="16"/>
      <w:lang w:val="id-ID" w:eastAsia="en-US" w:bidi="ar-SA"/>
    </w:rPr>
  </w:style>
  <w:style w:type="character" w:styleId="Emphasis">
    <w:name w:val="Emphasis"/>
    <w:qFormat/>
    <w:rsid w:val="009D5521"/>
    <w:rPr>
      <w:i/>
      <w:iCs/>
    </w:rPr>
  </w:style>
  <w:style w:type="paragraph" w:customStyle="1" w:styleId="IPENULIS">
    <w:name w:val="I_PENULIS"/>
    <w:basedOn w:val="Iabs"/>
    <w:link w:val="IPENULISChar"/>
    <w:rsid w:val="00733114"/>
    <w:pPr>
      <w:spacing w:before="0" w:after="60"/>
      <w:ind w:left="0" w:right="0"/>
      <w:jc w:val="center"/>
      <w:outlineLvl w:val="1"/>
    </w:pPr>
    <w:rPr>
      <w:bCs/>
      <w:sz w:val="24"/>
    </w:rPr>
  </w:style>
  <w:style w:type="character" w:customStyle="1" w:styleId="IPENULISChar">
    <w:name w:val="I_PENULIS Char"/>
    <w:link w:val="IPENULIS"/>
    <w:rsid w:val="00733114"/>
    <w:rPr>
      <w:rFonts w:ascii="Calibri" w:hAnsi="Calibri" w:cs="Arial"/>
      <w:b/>
      <w:bCs/>
      <w:sz w:val="24"/>
      <w:szCs w:val="22"/>
      <w:lang w:val="id-ID" w:eastAsia="en-US" w:bidi="ar-SA"/>
    </w:rPr>
  </w:style>
  <w:style w:type="paragraph" w:customStyle="1" w:styleId="Kutipan">
    <w:name w:val="Kutipan"/>
    <w:basedOn w:val="Normal"/>
    <w:next w:val="Normal"/>
    <w:link w:val="KutipanChar"/>
    <w:semiHidden/>
    <w:rsid w:val="009D5521"/>
    <w:pPr>
      <w:autoSpaceDE w:val="0"/>
      <w:autoSpaceDN w:val="0"/>
      <w:spacing w:after="120" w:line="240" w:lineRule="exact"/>
      <w:ind w:left="720" w:right="720"/>
      <w:jc w:val="both"/>
    </w:pPr>
    <w:rPr>
      <w:sz w:val="20"/>
      <w:szCs w:val="20"/>
    </w:rPr>
  </w:style>
  <w:style w:type="character" w:customStyle="1" w:styleId="KutipanChar">
    <w:name w:val="Kutipan Char"/>
    <w:link w:val="Kutipan"/>
    <w:rsid w:val="009D5521"/>
    <w:rPr>
      <w:rFonts w:ascii="Calibri" w:hAnsi="Calibri" w:cs="Arial"/>
      <w:lang w:val="id-ID" w:eastAsia="en-US" w:bidi="ar-SA"/>
    </w:rPr>
  </w:style>
  <w:style w:type="character" w:customStyle="1" w:styleId="BalloonTextChar">
    <w:name w:val="Balloon Text Char"/>
    <w:link w:val="BalloonText"/>
    <w:locked/>
    <w:rsid w:val="009D5521"/>
    <w:rPr>
      <w:rFonts w:ascii="Tahoma" w:hAnsi="Tahoma"/>
      <w:noProof/>
      <w:sz w:val="16"/>
      <w:szCs w:val="16"/>
      <w:lang w:val="id-ID" w:bidi="ar-SA"/>
    </w:rPr>
  </w:style>
  <w:style w:type="paragraph" w:styleId="BalloonText">
    <w:name w:val="Balloon Text"/>
    <w:basedOn w:val="Normal"/>
    <w:link w:val="BalloonTextChar"/>
    <w:rsid w:val="009D5521"/>
    <w:rPr>
      <w:rFonts w:ascii="Tahoma" w:hAnsi="Tahoma" w:cs="Times New Roman"/>
      <w:noProof/>
      <w:sz w:val="16"/>
      <w:szCs w:val="16"/>
    </w:rPr>
  </w:style>
  <w:style w:type="paragraph" w:customStyle="1" w:styleId="FootnoteText1">
    <w:name w:val="Footnote Text1"/>
    <w:basedOn w:val="Normal"/>
    <w:semiHidden/>
    <w:rsid w:val="009D5521"/>
    <w:pPr>
      <w:widowControl w:val="0"/>
      <w:suppressAutoHyphens/>
    </w:pPr>
    <w:rPr>
      <w:sz w:val="20"/>
      <w:szCs w:val="20"/>
      <w:lang w:eastAsia="ar-SA"/>
    </w:rPr>
  </w:style>
  <w:style w:type="character" w:customStyle="1" w:styleId="hps">
    <w:name w:val="hps"/>
    <w:semiHidden/>
    <w:rsid w:val="009D5521"/>
    <w:rPr>
      <w:rFonts w:cs="Times New Roman"/>
    </w:rPr>
  </w:style>
  <w:style w:type="paragraph" w:customStyle="1" w:styleId="msonospacing0">
    <w:name w:val="msonospacing"/>
    <w:semiHidden/>
    <w:rsid w:val="009D5521"/>
    <w:rPr>
      <w:rFonts w:cs="Angsana New"/>
      <w:sz w:val="24"/>
      <w:szCs w:val="24"/>
    </w:rPr>
  </w:style>
  <w:style w:type="paragraph" w:styleId="DocumentMap">
    <w:name w:val="Document Map"/>
    <w:basedOn w:val="Normal"/>
    <w:link w:val="DocumentMapChar"/>
    <w:semiHidden/>
    <w:rsid w:val="009D5521"/>
    <w:pPr>
      <w:shd w:val="clear" w:color="auto" w:fill="000080"/>
    </w:pPr>
    <w:rPr>
      <w:rFonts w:ascii="Tahoma" w:hAnsi="Tahoma" w:cs="Tahoma"/>
      <w:sz w:val="20"/>
      <w:szCs w:val="20"/>
    </w:rPr>
  </w:style>
  <w:style w:type="character" w:customStyle="1" w:styleId="DocumentMapChar">
    <w:name w:val="Document Map Char"/>
    <w:link w:val="DocumentMap"/>
    <w:semiHidden/>
    <w:locked/>
    <w:rsid w:val="002107F6"/>
    <w:rPr>
      <w:rFonts w:ascii="Tahoma" w:hAnsi="Tahoma" w:cs="Tahoma"/>
      <w:lang w:val="id-ID" w:eastAsia="en-US" w:bidi="ar-SA"/>
    </w:rPr>
  </w:style>
  <w:style w:type="paragraph" w:customStyle="1" w:styleId="KATABEL">
    <w:name w:val="KA_TABEL"/>
    <w:basedOn w:val="Normal"/>
    <w:rsid w:val="009D5521"/>
    <w:pPr>
      <w:spacing w:before="240" w:after="120"/>
      <w:jc w:val="center"/>
      <w:outlineLvl w:val="2"/>
    </w:pPr>
    <w:rPr>
      <w:rFonts w:eastAsia="Calibri"/>
      <w:b/>
      <w:bCs/>
      <w:sz w:val="20"/>
    </w:rPr>
  </w:style>
  <w:style w:type="paragraph" w:styleId="NoSpacing">
    <w:name w:val="No Spacing"/>
    <w:qFormat/>
    <w:rsid w:val="009D5521"/>
    <w:rPr>
      <w:rFonts w:ascii="Calibri" w:hAnsi="Calibri" w:cs="Arial"/>
      <w:sz w:val="22"/>
      <w:szCs w:val="22"/>
    </w:rPr>
  </w:style>
  <w:style w:type="paragraph" w:customStyle="1" w:styleId="IABSSS">
    <w:name w:val="I_ABSSS"/>
    <w:basedOn w:val="Normal"/>
    <w:link w:val="IABSSSChar"/>
    <w:rsid w:val="00787201"/>
    <w:pPr>
      <w:spacing w:before="120" w:after="0" w:line="200" w:lineRule="exact"/>
      <w:ind w:left="1134" w:right="1134"/>
      <w:jc w:val="both"/>
    </w:pPr>
    <w:rPr>
      <w:rFonts w:ascii="Cambria" w:hAnsi="Cambria" w:cs="Calibri"/>
      <w:spacing w:val="-10"/>
      <w:sz w:val="18"/>
      <w:szCs w:val="20"/>
      <w:lang w:val="nl-NL"/>
    </w:rPr>
  </w:style>
  <w:style w:type="character" w:customStyle="1" w:styleId="IABSSSChar">
    <w:name w:val="I_ABSSS Char"/>
    <w:link w:val="IABSSS"/>
    <w:rsid w:val="00787201"/>
    <w:rPr>
      <w:rFonts w:ascii="Cambria" w:hAnsi="Cambria" w:cs="Calibri"/>
      <w:spacing w:val="-10"/>
      <w:sz w:val="18"/>
      <w:lang w:val="nl-NL" w:eastAsia="en-US" w:bidi="ar-SA"/>
    </w:rPr>
  </w:style>
  <w:style w:type="paragraph" w:customStyle="1" w:styleId="IAKEY">
    <w:name w:val="I_AKEY"/>
    <w:basedOn w:val="IABSSS"/>
    <w:link w:val="IAKEYChar"/>
    <w:rsid w:val="0070534E"/>
    <w:pPr>
      <w:spacing w:before="360" w:after="120"/>
      <w:ind w:left="2155" w:hanging="1021"/>
      <w:jc w:val="left"/>
    </w:pPr>
    <w:rPr>
      <w:rFonts w:eastAsia="Batang"/>
      <w:b/>
    </w:rPr>
  </w:style>
  <w:style w:type="character" w:customStyle="1" w:styleId="IAKEYChar">
    <w:name w:val="I_AKEY Char"/>
    <w:link w:val="IAKEY"/>
    <w:rsid w:val="0070534E"/>
    <w:rPr>
      <w:rFonts w:ascii="Cambria" w:eastAsia="Batang" w:hAnsi="Cambria" w:cs="Calibri"/>
      <w:b/>
      <w:spacing w:val="-10"/>
      <w:sz w:val="18"/>
      <w:lang w:val="nl-NL" w:eastAsia="en-US"/>
    </w:rPr>
  </w:style>
  <w:style w:type="paragraph" w:customStyle="1" w:styleId="IDAP">
    <w:name w:val="I_DAP"/>
    <w:basedOn w:val="Normal"/>
    <w:link w:val="IDAPChar"/>
    <w:rsid w:val="00787201"/>
    <w:pPr>
      <w:spacing w:before="240" w:after="240" w:line="320" w:lineRule="exact"/>
      <w:ind w:right="1134"/>
      <w:jc w:val="center"/>
      <w:outlineLvl w:val="0"/>
    </w:pPr>
    <w:rPr>
      <w:rFonts w:ascii="Cambria" w:hAnsi="Cambria"/>
      <w:b/>
      <w:bCs/>
      <w:spacing w:val="-8"/>
      <w:sz w:val="24"/>
    </w:rPr>
  </w:style>
  <w:style w:type="character" w:customStyle="1" w:styleId="IDAPChar">
    <w:name w:val="I_DAP Char"/>
    <w:link w:val="IDAP"/>
    <w:rsid w:val="005516D4"/>
    <w:rPr>
      <w:rFonts w:ascii="Cambria" w:hAnsi="Cambria" w:cs="Arial"/>
      <w:b/>
      <w:bCs/>
      <w:spacing w:val="-8"/>
      <w:sz w:val="24"/>
      <w:szCs w:val="22"/>
      <w:lang w:val="id-ID" w:eastAsia="en-US" w:bidi="ar-SA"/>
    </w:rPr>
  </w:style>
  <w:style w:type="paragraph" w:customStyle="1" w:styleId="Default">
    <w:name w:val="Default"/>
    <w:semiHidden/>
    <w:rsid w:val="009D5521"/>
    <w:pPr>
      <w:autoSpaceDE w:val="0"/>
      <w:autoSpaceDN w:val="0"/>
      <w:adjustRightInd w:val="0"/>
    </w:pPr>
    <w:rPr>
      <w:rFonts w:ascii="Garamond" w:eastAsia="Calibri" w:hAnsi="Garamond" w:cs="Garamond"/>
      <w:color w:val="000000"/>
      <w:sz w:val="24"/>
      <w:szCs w:val="24"/>
      <w:lang w:val="id-ID" w:eastAsia="id-ID"/>
    </w:rPr>
  </w:style>
  <w:style w:type="paragraph" w:customStyle="1" w:styleId="IKAtabel">
    <w:name w:val="I_KA tabel"/>
    <w:basedOn w:val="Ipoint-1"/>
    <w:rsid w:val="007F2843"/>
    <w:pPr>
      <w:spacing w:after="240" w:line="280" w:lineRule="exact"/>
      <w:ind w:left="0"/>
    </w:pPr>
    <w:rPr>
      <w:rFonts w:ascii="Calibri" w:hAnsi="Calibri"/>
      <w:sz w:val="20"/>
      <w:lang w:val="nb-NO"/>
    </w:rPr>
  </w:style>
  <w:style w:type="paragraph" w:customStyle="1" w:styleId="ISI-point">
    <w:name w:val="ISI-point"/>
    <w:basedOn w:val="Normal"/>
    <w:link w:val="ISI-pointChar"/>
    <w:rsid w:val="00AC7A63"/>
    <w:pPr>
      <w:spacing w:after="120" w:line="300" w:lineRule="exact"/>
      <w:ind w:left="340" w:hanging="340"/>
      <w:jc w:val="both"/>
    </w:pPr>
    <w:rPr>
      <w:rFonts w:ascii="Cambria" w:eastAsia="Calibri" w:hAnsi="Cambria"/>
      <w:spacing w:val="-8"/>
      <w:szCs w:val="26"/>
      <w:lang w:val="en-GB"/>
    </w:rPr>
  </w:style>
  <w:style w:type="character" w:customStyle="1" w:styleId="ISI-pointChar">
    <w:name w:val="ISI-point Char"/>
    <w:link w:val="ISI-point"/>
    <w:rsid w:val="00AC7A63"/>
    <w:rPr>
      <w:rFonts w:ascii="Cambria" w:eastAsia="Calibri" w:hAnsi="Cambria" w:cs="Arial"/>
      <w:spacing w:val="-8"/>
      <w:sz w:val="22"/>
      <w:szCs w:val="26"/>
      <w:lang w:val="en-GB" w:eastAsia="en-US"/>
    </w:rPr>
  </w:style>
  <w:style w:type="paragraph" w:styleId="BodyText2">
    <w:name w:val="Body Text 2"/>
    <w:basedOn w:val="Normal"/>
    <w:link w:val="BodyText2Char"/>
    <w:semiHidden/>
    <w:rsid w:val="009D5521"/>
    <w:pPr>
      <w:spacing w:after="120" w:line="480" w:lineRule="auto"/>
    </w:pPr>
    <w:rPr>
      <w:lang w:eastAsia="id-ID"/>
    </w:rPr>
  </w:style>
  <w:style w:type="character" w:customStyle="1" w:styleId="BodyText2Char">
    <w:name w:val="Body Text 2 Char"/>
    <w:link w:val="BodyText2"/>
    <w:semiHidden/>
    <w:locked/>
    <w:rsid w:val="009D5521"/>
    <w:rPr>
      <w:rFonts w:ascii="Calibri" w:hAnsi="Calibri" w:cs="Arial"/>
      <w:sz w:val="22"/>
      <w:szCs w:val="22"/>
      <w:lang w:val="id-ID" w:eastAsia="id-ID" w:bidi="ar-SA"/>
    </w:rPr>
  </w:style>
  <w:style w:type="character" w:customStyle="1" w:styleId="longtext">
    <w:name w:val="long_text"/>
    <w:semiHidden/>
    <w:rsid w:val="009D5521"/>
    <w:rPr>
      <w:rFonts w:cs="Times New Roman"/>
    </w:rPr>
  </w:style>
  <w:style w:type="paragraph" w:customStyle="1" w:styleId="ARABKE">
    <w:name w:val="ARAB_)KE"/>
    <w:basedOn w:val="ARAB"/>
    <w:link w:val="ARABKEChar"/>
    <w:rsid w:val="009D5521"/>
    <w:pPr>
      <w:spacing w:line="240" w:lineRule="auto"/>
    </w:pPr>
    <w:rPr>
      <w:spacing w:val="-10"/>
      <w:sz w:val="28"/>
      <w:szCs w:val="28"/>
      <w:lang w:eastAsia="id-ID"/>
    </w:rPr>
  </w:style>
  <w:style w:type="character" w:customStyle="1" w:styleId="ARABKEChar">
    <w:name w:val="ARAB_)KE Char"/>
    <w:link w:val="ARABKE"/>
    <w:rsid w:val="009D5521"/>
    <w:rPr>
      <w:rFonts w:ascii="KFGQPC Uthman Taha Naskh" w:hAnsi="KFGQPC Uthman Taha Naskh" w:cs="KFGQPC Uthman Taha Naskh"/>
      <w:spacing w:val="-10"/>
      <w:sz w:val="28"/>
      <w:szCs w:val="28"/>
      <w:lang w:val="id-ID" w:eastAsia="id-ID" w:bidi="ar-SA"/>
    </w:rPr>
  </w:style>
  <w:style w:type="paragraph" w:customStyle="1" w:styleId="I-KUTIPpasal">
    <w:name w:val="I-KUTIP_pasal"/>
    <w:basedOn w:val="I-Kutipan"/>
    <w:rsid w:val="009D5521"/>
    <w:pPr>
      <w:spacing w:line="240" w:lineRule="exact"/>
      <w:ind w:left="737" w:hanging="397"/>
    </w:pPr>
  </w:style>
  <w:style w:type="paragraph" w:customStyle="1" w:styleId="Abstraksiisi">
    <w:name w:val="Abstraksi_isi"/>
    <w:next w:val="Normal"/>
    <w:semiHidden/>
    <w:rsid w:val="009D5521"/>
    <w:pPr>
      <w:autoSpaceDE w:val="0"/>
      <w:autoSpaceDN w:val="0"/>
      <w:adjustRightInd w:val="0"/>
      <w:jc w:val="center"/>
    </w:pPr>
    <w:rPr>
      <w:rFonts w:ascii="GoudyOlSt BT" w:cs="GoudyOlSt BT"/>
      <w:i/>
      <w:iCs/>
      <w:color w:val="000000"/>
      <w:sz w:val="24"/>
      <w:szCs w:val="24"/>
    </w:rPr>
  </w:style>
  <w:style w:type="paragraph" w:customStyle="1" w:styleId="Abstrak">
    <w:name w:val="Abstrak"/>
    <w:next w:val="Abstraksiisi"/>
    <w:semiHidden/>
    <w:rsid w:val="009D5521"/>
    <w:pPr>
      <w:autoSpaceDE w:val="0"/>
      <w:autoSpaceDN w:val="0"/>
      <w:adjustRightInd w:val="0"/>
      <w:spacing w:before="227" w:after="113"/>
      <w:jc w:val="center"/>
    </w:pPr>
    <w:rPr>
      <w:rFonts w:ascii="Futura BdCn BT" w:cs="Futura BdCn BT"/>
      <w:b/>
      <w:bCs/>
      <w:color w:val="000000"/>
      <w:sz w:val="24"/>
      <w:szCs w:val="24"/>
    </w:rPr>
  </w:style>
  <w:style w:type="paragraph" w:customStyle="1" w:styleId="oleh1">
    <w:name w:val="oleh_1"/>
    <w:next w:val="Abstrak"/>
    <w:semiHidden/>
    <w:rsid w:val="009D5521"/>
    <w:pPr>
      <w:autoSpaceDE w:val="0"/>
      <w:autoSpaceDN w:val="0"/>
      <w:adjustRightInd w:val="0"/>
      <w:spacing w:before="170" w:after="57"/>
      <w:jc w:val="center"/>
    </w:pPr>
    <w:rPr>
      <w:rFonts w:ascii="Arial" w:hAnsi="Arial" w:cs="Arial"/>
      <w:color w:val="000000"/>
      <w:sz w:val="22"/>
      <w:szCs w:val="22"/>
    </w:rPr>
  </w:style>
  <w:style w:type="paragraph" w:customStyle="1" w:styleId="kutipan0">
    <w:name w:val="kutipan"/>
    <w:semiHidden/>
    <w:rsid w:val="009D5521"/>
    <w:pPr>
      <w:tabs>
        <w:tab w:val="left" w:pos="942"/>
      </w:tabs>
      <w:autoSpaceDE w:val="0"/>
      <w:autoSpaceDN w:val="0"/>
      <w:adjustRightInd w:val="0"/>
      <w:spacing w:before="57" w:after="113" w:line="260" w:lineRule="atLeast"/>
      <w:ind w:left="283" w:right="170"/>
      <w:jc w:val="both"/>
    </w:pPr>
    <w:rPr>
      <w:rFonts w:ascii="GoudyOlSt BT" w:cs="GoudyOlSt BT"/>
      <w:color w:val="000000"/>
      <w:sz w:val="23"/>
      <w:szCs w:val="23"/>
    </w:rPr>
  </w:style>
  <w:style w:type="paragraph" w:customStyle="1" w:styleId="isi0">
    <w:name w:val="isi"/>
    <w:semiHidden/>
    <w:rsid w:val="009D5521"/>
    <w:pPr>
      <w:tabs>
        <w:tab w:val="left" w:pos="942"/>
      </w:tabs>
      <w:autoSpaceDE w:val="0"/>
      <w:autoSpaceDN w:val="0"/>
      <w:adjustRightInd w:val="0"/>
      <w:spacing w:line="300" w:lineRule="atLeast"/>
      <w:ind w:firstLine="567"/>
      <w:jc w:val="both"/>
    </w:pPr>
    <w:rPr>
      <w:rFonts w:ascii="GoudyOlSt BT" w:cs="GoudyOlSt BT"/>
      <w:color w:val="000000"/>
      <w:sz w:val="23"/>
      <w:szCs w:val="23"/>
    </w:rPr>
  </w:style>
  <w:style w:type="paragraph" w:customStyle="1" w:styleId="subJudul">
    <w:name w:val="sub Judul"/>
    <w:semiHidden/>
    <w:rsid w:val="009D5521"/>
    <w:pPr>
      <w:autoSpaceDE w:val="0"/>
      <w:autoSpaceDN w:val="0"/>
      <w:adjustRightInd w:val="0"/>
      <w:spacing w:before="227" w:after="57"/>
    </w:pPr>
    <w:rPr>
      <w:rFonts w:ascii="Futura BdCn BT" w:cs="Futura BdCn BT"/>
      <w:b/>
      <w:bCs/>
      <w:color w:val="000000"/>
      <w:sz w:val="28"/>
      <w:szCs w:val="28"/>
    </w:rPr>
  </w:style>
  <w:style w:type="paragraph" w:customStyle="1" w:styleId="footnote">
    <w:name w:val="footnote"/>
    <w:semiHidden/>
    <w:rsid w:val="009D5521"/>
    <w:pPr>
      <w:autoSpaceDE w:val="0"/>
      <w:autoSpaceDN w:val="0"/>
      <w:adjustRightInd w:val="0"/>
      <w:spacing w:after="57"/>
      <w:ind w:firstLine="283"/>
      <w:jc w:val="both"/>
    </w:pPr>
    <w:rPr>
      <w:rFonts w:ascii="GoudyOlSt BT" w:cs="GoudyOlSt BT"/>
      <w:color w:val="000000"/>
    </w:rPr>
  </w:style>
  <w:style w:type="paragraph" w:customStyle="1" w:styleId="subbaru">
    <w:name w:val="sub baru"/>
    <w:basedOn w:val="Normal"/>
    <w:semiHidden/>
    <w:rsid w:val="009D5521"/>
    <w:pPr>
      <w:tabs>
        <w:tab w:val="left" w:pos="283"/>
      </w:tabs>
      <w:autoSpaceDE w:val="0"/>
      <w:autoSpaceDN w:val="0"/>
      <w:adjustRightInd w:val="0"/>
      <w:spacing w:before="113" w:after="113" w:line="260" w:lineRule="atLeast"/>
      <w:ind w:left="283" w:hanging="283"/>
      <w:jc w:val="both"/>
    </w:pPr>
    <w:rPr>
      <w:rFonts w:ascii="Humanst521 BT" w:hAnsi="Times New Roman" w:cs="Humanst521 BT"/>
      <w:i/>
      <w:iCs/>
      <w:color w:val="000000"/>
      <w:sz w:val="23"/>
      <w:szCs w:val="23"/>
      <w:lang w:val="en-US"/>
    </w:rPr>
  </w:style>
  <w:style w:type="character" w:customStyle="1" w:styleId="CharChar2">
    <w:name w:val="Char Char2"/>
    <w:semiHidden/>
    <w:rsid w:val="009D5521"/>
    <w:rPr>
      <w:rFonts w:ascii="Calibri" w:eastAsia="Calibri" w:hAnsi="Calibri" w:cs="Arial"/>
      <w:sz w:val="20"/>
      <w:szCs w:val="20"/>
      <w:lang w:val="id-ID"/>
    </w:rPr>
  </w:style>
  <w:style w:type="character" w:styleId="HTMLCite">
    <w:name w:val="HTML Cite"/>
    <w:semiHidden/>
    <w:unhideWhenUsed/>
    <w:rsid w:val="009D5521"/>
    <w:rPr>
      <w:i/>
      <w:iCs/>
    </w:rPr>
  </w:style>
  <w:style w:type="paragraph" w:customStyle="1" w:styleId="I-point-1-hanging">
    <w:name w:val="I-point-1-hanging"/>
    <w:basedOn w:val="Ipoint-1"/>
    <w:rsid w:val="000D48AA"/>
    <w:rPr>
      <w:rFonts w:ascii="Calibri" w:hAnsi="Calibri"/>
    </w:rPr>
  </w:style>
  <w:style w:type="paragraph" w:styleId="CommentText">
    <w:name w:val="annotation text"/>
    <w:basedOn w:val="Normal"/>
    <w:link w:val="CommentTextChar"/>
    <w:semiHidden/>
    <w:rsid w:val="009D5521"/>
    <w:rPr>
      <w:sz w:val="20"/>
      <w:szCs w:val="20"/>
    </w:rPr>
  </w:style>
  <w:style w:type="character" w:customStyle="1" w:styleId="CommentTextChar">
    <w:name w:val="Comment Text Char"/>
    <w:link w:val="CommentText"/>
    <w:rsid w:val="009D5521"/>
    <w:rPr>
      <w:rFonts w:ascii="Calibri" w:hAnsi="Calibri" w:cs="Arial"/>
      <w:lang w:val="id-ID" w:eastAsia="en-US" w:bidi="ar-SA"/>
    </w:rPr>
  </w:style>
  <w:style w:type="paragraph" w:styleId="CommentSubject">
    <w:name w:val="annotation subject"/>
    <w:basedOn w:val="CommentText"/>
    <w:next w:val="CommentText"/>
    <w:link w:val="CommentSubjectChar"/>
    <w:semiHidden/>
    <w:rsid w:val="009D5521"/>
    <w:rPr>
      <w:b/>
      <w:bCs/>
    </w:rPr>
  </w:style>
  <w:style w:type="character" w:customStyle="1" w:styleId="CommentSubjectChar">
    <w:name w:val="Comment Subject Char"/>
    <w:link w:val="CommentSubject"/>
    <w:rsid w:val="009D5521"/>
    <w:rPr>
      <w:rFonts w:ascii="Calibri" w:hAnsi="Calibri" w:cs="Arial"/>
      <w:b/>
      <w:bCs/>
      <w:lang w:val="id-ID" w:eastAsia="en-US" w:bidi="ar-SA"/>
    </w:rPr>
  </w:style>
  <w:style w:type="paragraph" w:customStyle="1" w:styleId="StyleIPenketAfter0pt">
    <w:name w:val="Style I_Pen_ket + After:  0 pt"/>
    <w:basedOn w:val="IPenket"/>
    <w:semiHidden/>
    <w:rsid w:val="009D5521"/>
    <w:pPr>
      <w:spacing w:after="0" w:line="220" w:lineRule="exact"/>
    </w:pPr>
  </w:style>
  <w:style w:type="paragraph" w:customStyle="1" w:styleId="Ika-GAMBAR">
    <w:name w:val="I_ka-GAMBAR"/>
    <w:basedOn w:val="IKAtabel"/>
    <w:rsid w:val="001F26B0"/>
    <w:pPr>
      <w:spacing w:before="120" w:line="220" w:lineRule="exact"/>
      <w:jc w:val="center"/>
    </w:pPr>
  </w:style>
  <w:style w:type="paragraph" w:customStyle="1" w:styleId="HEADER-JUDUL">
    <w:name w:val="HEADER-JUDUL"/>
    <w:basedOn w:val="Normal"/>
    <w:semiHidden/>
    <w:rsid w:val="009D5521"/>
    <w:pPr>
      <w:tabs>
        <w:tab w:val="center" w:pos="4320"/>
        <w:tab w:val="right" w:pos="8640"/>
      </w:tabs>
      <w:spacing w:after="0" w:line="240" w:lineRule="auto"/>
      <w:jc w:val="right"/>
    </w:pPr>
    <w:rPr>
      <w:rFonts w:ascii="Cambria" w:hAnsi="Cambria"/>
      <w:spacing w:val="-8"/>
      <w:sz w:val="18"/>
      <w:szCs w:val="18"/>
      <w:lang w:val="en-US"/>
    </w:rPr>
  </w:style>
  <w:style w:type="paragraph" w:customStyle="1" w:styleId="IPOINTMASUK">
    <w:name w:val="I_POINT_MASUK&gt;"/>
    <w:basedOn w:val="Normal"/>
    <w:link w:val="IPOINTMASUKChar"/>
    <w:rsid w:val="00D420C2"/>
    <w:pPr>
      <w:spacing w:after="40" w:line="280" w:lineRule="exact"/>
      <w:ind w:left="680" w:hanging="340"/>
      <w:jc w:val="both"/>
    </w:pPr>
    <w:rPr>
      <w:rFonts w:ascii="Cambria" w:hAnsi="Cambria" w:cs="Times New Roman"/>
      <w:spacing w:val="-10"/>
      <w:szCs w:val="24"/>
      <w:lang w:eastAsia="en-GB"/>
    </w:rPr>
  </w:style>
  <w:style w:type="character" w:customStyle="1" w:styleId="IPOINTMASUKChar">
    <w:name w:val="I_POINT_MASUK&gt; Char"/>
    <w:link w:val="IPOINTMASUK"/>
    <w:rsid w:val="00D420C2"/>
    <w:rPr>
      <w:rFonts w:ascii="Cambria" w:hAnsi="Cambria"/>
      <w:spacing w:val="-10"/>
      <w:sz w:val="22"/>
      <w:szCs w:val="24"/>
      <w:lang w:val="id-ID" w:eastAsia="en-GB" w:bidi="ar-SA"/>
    </w:rPr>
  </w:style>
  <w:style w:type="paragraph" w:customStyle="1" w:styleId="Abstract">
    <w:name w:val="Abstract"/>
    <w:basedOn w:val="Normal"/>
    <w:semiHidden/>
    <w:rsid w:val="009D5521"/>
    <w:pPr>
      <w:overflowPunct w:val="0"/>
      <w:autoSpaceDE w:val="0"/>
      <w:autoSpaceDN w:val="0"/>
      <w:adjustRightInd w:val="0"/>
      <w:spacing w:after="240" w:line="240" w:lineRule="auto"/>
      <w:ind w:firstLine="720"/>
      <w:jc w:val="both"/>
      <w:textAlignment w:val="baseline"/>
    </w:pPr>
    <w:rPr>
      <w:rFonts w:ascii="Times New Roman" w:eastAsia="Calibri" w:hAnsi="Times New Roman" w:cs="Times New Roman"/>
      <w:i/>
      <w:sz w:val="20"/>
      <w:szCs w:val="20"/>
      <w:lang w:val="en-US"/>
    </w:rPr>
  </w:style>
  <w:style w:type="paragraph" w:customStyle="1" w:styleId="author">
    <w:name w:val="author"/>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b/>
      <w:i/>
      <w:sz w:val="20"/>
      <w:szCs w:val="20"/>
      <w:lang w:val="en-US"/>
    </w:rPr>
  </w:style>
  <w:style w:type="paragraph" w:customStyle="1" w:styleId="Afiliation">
    <w:name w:val="Afiliation"/>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i/>
      <w:sz w:val="20"/>
      <w:szCs w:val="20"/>
      <w:lang w:val="en-US"/>
    </w:rPr>
  </w:style>
  <w:style w:type="paragraph" w:customStyle="1" w:styleId="AbstractTitle">
    <w:name w:val="Abstract Title"/>
    <w:basedOn w:val="Normal"/>
    <w:semiHidden/>
    <w:rsid w:val="009D5521"/>
    <w:pPr>
      <w:overflowPunct w:val="0"/>
      <w:autoSpaceDE w:val="0"/>
      <w:autoSpaceDN w:val="0"/>
      <w:adjustRightInd w:val="0"/>
      <w:spacing w:before="240" w:after="0" w:line="240" w:lineRule="auto"/>
      <w:jc w:val="both"/>
      <w:textAlignment w:val="baseline"/>
    </w:pPr>
    <w:rPr>
      <w:rFonts w:ascii="Times New Roman" w:eastAsia="Calibri" w:hAnsi="Times New Roman" w:cs="Times New Roman"/>
      <w:b/>
      <w:i/>
      <w:sz w:val="24"/>
      <w:szCs w:val="20"/>
      <w:lang w:val="en-US"/>
    </w:rPr>
  </w:style>
  <w:style w:type="paragraph" w:customStyle="1" w:styleId="keywords">
    <w:name w:val="keywords"/>
    <w:basedOn w:val="Normal"/>
    <w:link w:val="keywordsChar"/>
    <w:semiHidden/>
    <w:rsid w:val="009D5521"/>
    <w:pPr>
      <w:overflowPunct w:val="0"/>
      <w:autoSpaceDE w:val="0"/>
      <w:autoSpaceDN w:val="0"/>
      <w:adjustRightInd w:val="0"/>
      <w:spacing w:after="240" w:line="240" w:lineRule="auto"/>
      <w:jc w:val="both"/>
      <w:textAlignment w:val="baseline"/>
    </w:pPr>
    <w:rPr>
      <w:rFonts w:ascii="Times New Roman" w:eastAsia="Calibri" w:hAnsi="Times New Roman" w:cs="Times New Roman"/>
      <w:i/>
      <w:iCs/>
      <w:sz w:val="20"/>
      <w:szCs w:val="20"/>
      <w:lang w:val="en-US"/>
    </w:rPr>
  </w:style>
  <w:style w:type="character" w:customStyle="1" w:styleId="keywordsChar">
    <w:name w:val="keywords Char"/>
    <w:link w:val="keywords"/>
    <w:locked/>
    <w:rsid w:val="009D5521"/>
    <w:rPr>
      <w:rFonts w:eastAsia="Calibri"/>
      <w:i/>
      <w:iCs/>
      <w:lang w:val="en-US" w:eastAsia="en-US" w:bidi="ar-SA"/>
    </w:rPr>
  </w:style>
  <w:style w:type="character" w:customStyle="1" w:styleId="Keywordstitle">
    <w:name w:val="Keywords title"/>
    <w:semiHidden/>
    <w:rsid w:val="009D5521"/>
    <w:rPr>
      <w:b/>
      <w:sz w:val="24"/>
    </w:rPr>
  </w:style>
  <w:style w:type="paragraph" w:customStyle="1" w:styleId="BodyText1">
    <w:name w:val="Body Text1"/>
    <w:basedOn w:val="Normal"/>
    <w:semiHidden/>
    <w:rsid w:val="009D5521"/>
    <w:pPr>
      <w:overflowPunct w:val="0"/>
      <w:autoSpaceDE w:val="0"/>
      <w:autoSpaceDN w:val="0"/>
      <w:adjustRightInd w:val="0"/>
      <w:spacing w:after="0" w:line="240" w:lineRule="auto"/>
      <w:ind w:firstLine="720"/>
      <w:jc w:val="both"/>
      <w:textAlignment w:val="baseline"/>
    </w:pPr>
    <w:rPr>
      <w:rFonts w:ascii="Times New Roman" w:eastAsia="Calibri" w:hAnsi="Times New Roman" w:cs="Times New Roman"/>
      <w:sz w:val="20"/>
      <w:szCs w:val="20"/>
      <w:lang w:val="en-US"/>
    </w:rPr>
  </w:style>
  <w:style w:type="paragraph" w:customStyle="1" w:styleId="Numberedreference">
    <w:name w:val="Numbered reference"/>
    <w:basedOn w:val="BodyText1"/>
    <w:semiHidden/>
    <w:rsid w:val="009D5521"/>
    <w:pPr>
      <w:ind w:left="360" w:hanging="360"/>
    </w:pPr>
  </w:style>
  <w:style w:type="character" w:customStyle="1" w:styleId="CharChar">
    <w:name w:val="Char Char"/>
    <w:aliases w:val="Char Char Char"/>
    <w:basedOn w:val="DefaultParagraphFont"/>
    <w:semiHidden/>
    <w:rsid w:val="009D5521"/>
  </w:style>
  <w:style w:type="character" w:styleId="Hyperlink">
    <w:name w:val="Hyperlink"/>
    <w:semiHidden/>
    <w:rsid w:val="009D5521"/>
    <w:rPr>
      <w:color w:val="0000FF"/>
      <w:u w:val="single"/>
    </w:rPr>
  </w:style>
  <w:style w:type="paragraph" w:styleId="NormalWeb">
    <w:name w:val="Normal (Web)"/>
    <w:basedOn w:val="Normal"/>
    <w:uiPriority w:val="99"/>
    <w:semiHidden/>
    <w:rsid w:val="009D5521"/>
    <w:pPr>
      <w:spacing w:before="100" w:beforeAutospacing="1" w:after="100" w:afterAutospacing="1"/>
    </w:pPr>
  </w:style>
  <w:style w:type="character" w:customStyle="1" w:styleId="apple-converted-space">
    <w:name w:val="apple-converted-space"/>
    <w:semiHidden/>
    <w:rsid w:val="009D5521"/>
    <w:rPr>
      <w:rFonts w:cs="Times New Roman"/>
    </w:rPr>
  </w:style>
  <w:style w:type="table" w:styleId="TableGrid">
    <w:name w:val="Table Grid"/>
    <w:basedOn w:val="TableNormal"/>
    <w:semiHidden/>
    <w:rsid w:val="009D5521"/>
    <w:pPr>
      <w:bidi/>
    </w:pPr>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semiHidden/>
    <w:rsid w:val="009D5521"/>
    <w:pPr>
      <w:ind w:left="360" w:hanging="360"/>
    </w:pPr>
    <w:rPr>
      <w:szCs w:val="20"/>
    </w:rPr>
  </w:style>
  <w:style w:type="character" w:customStyle="1" w:styleId="CharChar1">
    <w:name w:val="Char Char1"/>
    <w:semiHidden/>
    <w:rsid w:val="009D5521"/>
    <w:rPr>
      <w:sz w:val="24"/>
      <w:szCs w:val="24"/>
    </w:rPr>
  </w:style>
  <w:style w:type="paragraph" w:styleId="ListBullet">
    <w:name w:val="List Bullet"/>
    <w:basedOn w:val="Normal"/>
    <w:semiHidden/>
    <w:rsid w:val="009D5521"/>
    <w:pPr>
      <w:numPr>
        <w:numId w:val="1"/>
      </w:numPr>
    </w:pPr>
  </w:style>
  <w:style w:type="paragraph" w:customStyle="1" w:styleId="msolistparagraph0">
    <w:name w:val="msolistparagraph"/>
    <w:basedOn w:val="Normal"/>
    <w:semiHidden/>
    <w:rsid w:val="009D5521"/>
    <w:pPr>
      <w:ind w:left="720"/>
      <w:contextualSpacing/>
    </w:pPr>
  </w:style>
  <w:style w:type="paragraph" w:styleId="Index1">
    <w:name w:val="index 1"/>
    <w:basedOn w:val="Normal"/>
    <w:next w:val="Normal"/>
    <w:autoRedefine/>
    <w:semiHidden/>
    <w:rsid w:val="000D2D60"/>
    <w:pPr>
      <w:tabs>
        <w:tab w:val="right" w:pos="3031"/>
      </w:tabs>
      <w:spacing w:after="0"/>
      <w:ind w:left="220" w:hanging="220"/>
    </w:pPr>
    <w:rPr>
      <w:rFonts w:ascii="Cambria" w:hAnsi="Cambria" w:cs="Times New Roman"/>
      <w:bCs/>
      <w:noProof/>
      <w:spacing w:val="-8"/>
      <w:sz w:val="18"/>
      <w:szCs w:val="21"/>
    </w:rPr>
  </w:style>
  <w:style w:type="paragraph" w:styleId="Index2">
    <w:name w:val="index 2"/>
    <w:basedOn w:val="Normal"/>
    <w:next w:val="Normal"/>
    <w:autoRedefine/>
    <w:semiHidden/>
    <w:rsid w:val="000D2D60"/>
    <w:pPr>
      <w:spacing w:after="0"/>
      <w:ind w:left="440" w:hanging="220"/>
    </w:pPr>
    <w:rPr>
      <w:rFonts w:ascii="Cambria" w:hAnsi="Cambria" w:cs="Times New Roman"/>
      <w:spacing w:val="-8"/>
      <w:sz w:val="18"/>
      <w:szCs w:val="21"/>
    </w:rPr>
  </w:style>
  <w:style w:type="paragraph" w:styleId="Index3">
    <w:name w:val="index 3"/>
    <w:basedOn w:val="Normal"/>
    <w:next w:val="Normal"/>
    <w:autoRedefine/>
    <w:semiHidden/>
    <w:rsid w:val="009D5521"/>
    <w:pPr>
      <w:spacing w:after="0"/>
      <w:ind w:left="660" w:hanging="220"/>
    </w:pPr>
    <w:rPr>
      <w:rFonts w:ascii="Times New Roman" w:hAnsi="Times New Roman" w:cs="Times New Roman"/>
      <w:sz w:val="18"/>
      <w:szCs w:val="21"/>
    </w:rPr>
  </w:style>
  <w:style w:type="paragraph" w:styleId="Index4">
    <w:name w:val="index 4"/>
    <w:basedOn w:val="Normal"/>
    <w:next w:val="Normal"/>
    <w:autoRedefine/>
    <w:semiHidden/>
    <w:rsid w:val="009D5521"/>
    <w:pPr>
      <w:spacing w:after="0"/>
      <w:ind w:left="880" w:hanging="220"/>
    </w:pPr>
    <w:rPr>
      <w:rFonts w:ascii="Times New Roman" w:hAnsi="Times New Roman" w:cs="Times New Roman"/>
      <w:sz w:val="18"/>
      <w:szCs w:val="21"/>
    </w:rPr>
  </w:style>
  <w:style w:type="paragraph" w:styleId="Index5">
    <w:name w:val="index 5"/>
    <w:basedOn w:val="Normal"/>
    <w:next w:val="Normal"/>
    <w:autoRedefine/>
    <w:semiHidden/>
    <w:rsid w:val="009D5521"/>
    <w:pPr>
      <w:spacing w:after="0"/>
      <w:ind w:left="1100" w:hanging="220"/>
    </w:pPr>
    <w:rPr>
      <w:rFonts w:ascii="Times New Roman" w:hAnsi="Times New Roman" w:cs="Times New Roman"/>
      <w:sz w:val="18"/>
      <w:szCs w:val="21"/>
    </w:rPr>
  </w:style>
  <w:style w:type="paragraph" w:styleId="Index6">
    <w:name w:val="index 6"/>
    <w:basedOn w:val="Normal"/>
    <w:next w:val="Normal"/>
    <w:autoRedefine/>
    <w:semiHidden/>
    <w:rsid w:val="009D5521"/>
    <w:pPr>
      <w:spacing w:after="0"/>
      <w:ind w:left="1320" w:hanging="220"/>
    </w:pPr>
    <w:rPr>
      <w:rFonts w:ascii="Times New Roman" w:hAnsi="Times New Roman" w:cs="Times New Roman"/>
      <w:sz w:val="18"/>
      <w:szCs w:val="21"/>
    </w:rPr>
  </w:style>
  <w:style w:type="paragraph" w:styleId="Index7">
    <w:name w:val="index 7"/>
    <w:basedOn w:val="Normal"/>
    <w:next w:val="Normal"/>
    <w:autoRedefine/>
    <w:semiHidden/>
    <w:rsid w:val="009D5521"/>
    <w:pPr>
      <w:spacing w:after="0"/>
      <w:ind w:left="1540" w:hanging="220"/>
    </w:pPr>
    <w:rPr>
      <w:rFonts w:ascii="Times New Roman" w:hAnsi="Times New Roman" w:cs="Times New Roman"/>
      <w:sz w:val="18"/>
      <w:szCs w:val="21"/>
    </w:rPr>
  </w:style>
  <w:style w:type="paragraph" w:styleId="Index8">
    <w:name w:val="index 8"/>
    <w:basedOn w:val="Normal"/>
    <w:next w:val="Normal"/>
    <w:autoRedefine/>
    <w:semiHidden/>
    <w:rsid w:val="009D5521"/>
    <w:pPr>
      <w:spacing w:after="0"/>
      <w:ind w:left="1760" w:hanging="220"/>
    </w:pPr>
    <w:rPr>
      <w:rFonts w:ascii="Times New Roman" w:hAnsi="Times New Roman" w:cs="Times New Roman"/>
      <w:sz w:val="18"/>
      <w:szCs w:val="21"/>
    </w:rPr>
  </w:style>
  <w:style w:type="paragraph" w:styleId="Index9">
    <w:name w:val="index 9"/>
    <w:basedOn w:val="Normal"/>
    <w:next w:val="Normal"/>
    <w:autoRedefine/>
    <w:semiHidden/>
    <w:rsid w:val="009D5521"/>
    <w:pPr>
      <w:spacing w:after="0"/>
      <w:ind w:left="1980" w:hanging="220"/>
    </w:pPr>
    <w:rPr>
      <w:rFonts w:ascii="Times New Roman" w:hAnsi="Times New Roman" w:cs="Times New Roman"/>
      <w:sz w:val="18"/>
      <w:szCs w:val="21"/>
    </w:rPr>
  </w:style>
  <w:style w:type="paragraph" w:styleId="IndexHeading">
    <w:name w:val="index heading"/>
    <w:basedOn w:val="Normal"/>
    <w:next w:val="Index1"/>
    <w:semiHidden/>
    <w:rsid w:val="00757138"/>
    <w:pPr>
      <w:spacing w:before="240" w:after="120"/>
      <w:ind w:left="140"/>
    </w:pPr>
    <w:rPr>
      <w:rFonts w:ascii="Arial" w:hAnsi="Arial"/>
      <w:b/>
      <w:bCs/>
      <w:sz w:val="28"/>
      <w:szCs w:val="33"/>
    </w:rPr>
  </w:style>
  <w:style w:type="paragraph" w:customStyle="1" w:styleId="HEADERPenulis">
    <w:name w:val="HEADER_Penulis"/>
    <w:basedOn w:val="Normal"/>
    <w:semiHidden/>
    <w:rsid w:val="009D5521"/>
    <w:pPr>
      <w:tabs>
        <w:tab w:val="center" w:pos="4320"/>
        <w:tab w:val="right" w:pos="8640"/>
      </w:tabs>
      <w:spacing w:after="0" w:line="240" w:lineRule="auto"/>
    </w:pPr>
    <w:rPr>
      <w:rFonts w:ascii="Cambria" w:hAnsi="Cambria"/>
      <w:spacing w:val="-8"/>
      <w:sz w:val="18"/>
      <w:szCs w:val="18"/>
      <w:lang w:val="en-US"/>
    </w:rPr>
  </w:style>
  <w:style w:type="paragraph" w:customStyle="1" w:styleId="IHIPOTESIS">
    <w:name w:val="I_HIPOTESIS"/>
    <w:basedOn w:val="ISI-point"/>
    <w:qFormat/>
    <w:rsid w:val="00DB1AD2"/>
    <w:pPr>
      <w:spacing w:after="80"/>
      <w:ind w:left="794" w:hanging="454"/>
      <w:jc w:val="left"/>
    </w:pPr>
    <w:rPr>
      <w:i/>
    </w:rPr>
  </w:style>
  <w:style w:type="paragraph" w:customStyle="1" w:styleId="ARAB-footnote">
    <w:name w:val="ARAB-footnote"/>
    <w:basedOn w:val="I-KUTIPpasal"/>
    <w:rsid w:val="009D5521"/>
    <w:pPr>
      <w:bidi/>
      <w:spacing w:line="240" w:lineRule="auto"/>
      <w:ind w:left="0" w:right="340" w:firstLine="0"/>
    </w:pPr>
    <w:rPr>
      <w:rFonts w:cs="KFGQPC Uthman Taha Naskh"/>
      <w:i/>
      <w:iCs w:val="0"/>
      <w:sz w:val="24"/>
      <w:szCs w:val="24"/>
    </w:rPr>
  </w:style>
  <w:style w:type="paragraph" w:customStyle="1" w:styleId="IIn-1">
    <w:name w:val="IIn-1"/>
    <w:basedOn w:val="Index1"/>
    <w:semiHidden/>
    <w:rsid w:val="009D5521"/>
  </w:style>
  <w:style w:type="paragraph" w:customStyle="1" w:styleId="IIHEAD">
    <w:name w:val="II_HEAD"/>
    <w:basedOn w:val="IndexHeading"/>
    <w:semiHidden/>
    <w:rsid w:val="00C81D5F"/>
    <w:pPr>
      <w:keepNext/>
      <w:tabs>
        <w:tab w:val="right" w:pos="3031"/>
      </w:tabs>
      <w:ind w:left="142"/>
      <w:outlineLvl w:val="1"/>
    </w:pPr>
    <w:rPr>
      <w:rFonts w:ascii="Cambria" w:hAnsi="Cambria"/>
      <w:bCs w:val="0"/>
      <w:noProof/>
    </w:rPr>
  </w:style>
  <w:style w:type="paragraph" w:styleId="PlainText">
    <w:name w:val="Plain Text"/>
    <w:basedOn w:val="Normal"/>
    <w:link w:val="PlainTextChar"/>
    <w:semiHidden/>
    <w:rsid w:val="009D5521"/>
    <w:pPr>
      <w:bidi/>
      <w:spacing w:after="0" w:line="240" w:lineRule="auto"/>
    </w:pPr>
    <w:rPr>
      <w:rFonts w:ascii="Courier New" w:hAnsi="Courier New" w:cs="Courier New"/>
      <w:sz w:val="20"/>
      <w:szCs w:val="20"/>
      <w:lang w:val="en-US"/>
    </w:rPr>
  </w:style>
  <w:style w:type="character" w:customStyle="1" w:styleId="PlainTextChar">
    <w:name w:val="Plain Text Char"/>
    <w:link w:val="PlainText"/>
    <w:semiHidden/>
    <w:locked/>
    <w:rsid w:val="009D5521"/>
    <w:rPr>
      <w:rFonts w:ascii="Courier New" w:hAnsi="Courier New" w:cs="Courier New"/>
      <w:lang w:val="en-US" w:eastAsia="en-US" w:bidi="ar-SA"/>
    </w:rPr>
  </w:style>
  <w:style w:type="paragraph" w:customStyle="1" w:styleId="ISI-2">
    <w:name w:val="ISI-2"/>
    <w:basedOn w:val="Normal"/>
    <w:link w:val="ISI-2Char"/>
    <w:rsid w:val="009D5521"/>
    <w:pPr>
      <w:spacing w:after="40" w:line="360" w:lineRule="exact"/>
      <w:ind w:firstLine="397"/>
      <w:jc w:val="both"/>
    </w:pPr>
    <w:rPr>
      <w:rFonts w:ascii="Cambria" w:hAnsi="Cambria" w:cs="Times New Roman"/>
      <w:spacing w:val="-8"/>
      <w:szCs w:val="24"/>
      <w:lang w:eastAsia="en-GB"/>
    </w:rPr>
  </w:style>
  <w:style w:type="character" w:customStyle="1" w:styleId="ISI-2Char">
    <w:name w:val="ISI-2 Char"/>
    <w:link w:val="ISI-2"/>
    <w:locked/>
    <w:rsid w:val="009D5521"/>
    <w:rPr>
      <w:rFonts w:ascii="Cambria" w:hAnsi="Cambria"/>
      <w:spacing w:val="-8"/>
      <w:sz w:val="22"/>
      <w:szCs w:val="24"/>
      <w:lang w:val="id-ID" w:eastAsia="en-GB" w:bidi="ar-SA"/>
    </w:rPr>
  </w:style>
  <w:style w:type="paragraph" w:styleId="Subtitle">
    <w:name w:val="Subtitle"/>
    <w:basedOn w:val="Normal"/>
    <w:link w:val="SubtitleChar"/>
    <w:qFormat/>
    <w:rsid w:val="009D5521"/>
    <w:pPr>
      <w:spacing w:after="0" w:line="240" w:lineRule="auto"/>
      <w:jc w:val="lowKashida"/>
    </w:pPr>
    <w:rPr>
      <w:rFonts w:ascii="Times New Roman" w:eastAsia="Calibri" w:hAnsi="Times New Roman" w:cs="Traditional Arabic"/>
      <w:b/>
      <w:bCs/>
      <w:sz w:val="24"/>
      <w:szCs w:val="24"/>
      <w:lang w:val="en-US"/>
    </w:rPr>
  </w:style>
  <w:style w:type="character" w:customStyle="1" w:styleId="SubtitleChar">
    <w:name w:val="Subtitle Char"/>
    <w:link w:val="Subtitle"/>
    <w:locked/>
    <w:rsid w:val="009D5521"/>
    <w:rPr>
      <w:rFonts w:eastAsia="Calibri" w:cs="Traditional Arabic"/>
      <w:b/>
      <w:bCs/>
      <w:sz w:val="24"/>
      <w:szCs w:val="24"/>
      <w:lang w:val="en-US" w:eastAsia="en-US" w:bidi="ar-SA"/>
    </w:rPr>
  </w:style>
  <w:style w:type="paragraph" w:styleId="BodyTextIndent2">
    <w:name w:val="Body Text Indent 2"/>
    <w:basedOn w:val="Normal"/>
    <w:link w:val="BodyTextIndent2Char"/>
    <w:semiHidden/>
    <w:rsid w:val="009D5521"/>
    <w:pPr>
      <w:spacing w:after="120" w:line="480" w:lineRule="auto"/>
      <w:ind w:left="360"/>
    </w:pPr>
    <w:rPr>
      <w:rFonts w:cs="Angsana New"/>
      <w:szCs w:val="25"/>
    </w:rPr>
  </w:style>
  <w:style w:type="character" w:customStyle="1" w:styleId="BodyTextIndent2Char">
    <w:name w:val="Body Text Indent 2 Char"/>
    <w:link w:val="BodyTextIndent2"/>
    <w:semiHidden/>
    <w:locked/>
    <w:rsid w:val="009D5521"/>
    <w:rPr>
      <w:rFonts w:ascii="Calibri" w:hAnsi="Calibri" w:cs="Angsana New"/>
      <w:sz w:val="22"/>
      <w:szCs w:val="25"/>
      <w:lang w:val="id-ID" w:eastAsia="en-US" w:bidi="ar-SA"/>
    </w:rPr>
  </w:style>
  <w:style w:type="character" w:customStyle="1" w:styleId="Heading2Char">
    <w:name w:val="Heading 2 Char"/>
    <w:semiHidden/>
    <w:locked/>
    <w:rsid w:val="009D5521"/>
    <w:rPr>
      <w:rFonts w:ascii="Times New Roman" w:hAnsi="Times New Roman" w:cs="Times New Roman"/>
      <w:b/>
      <w:bCs/>
      <w:sz w:val="24"/>
      <w:szCs w:val="24"/>
    </w:rPr>
  </w:style>
  <w:style w:type="paragraph" w:customStyle="1" w:styleId="Style1">
    <w:name w:val="Style1"/>
    <w:basedOn w:val="ISI"/>
    <w:semiHidden/>
    <w:rsid w:val="009D5521"/>
    <w:pPr>
      <w:spacing w:line="320" w:lineRule="exact"/>
    </w:pPr>
  </w:style>
  <w:style w:type="paragraph" w:customStyle="1" w:styleId="ISI16">
    <w:name w:val="ISI_16"/>
    <w:basedOn w:val="ISI"/>
    <w:semiHidden/>
    <w:rsid w:val="009D5521"/>
    <w:pPr>
      <w:spacing w:line="320" w:lineRule="exact"/>
    </w:pPr>
  </w:style>
  <w:style w:type="character" w:customStyle="1" w:styleId="reference-text">
    <w:name w:val="reference-text"/>
    <w:basedOn w:val="DefaultParagraphFont"/>
    <w:semiHidden/>
    <w:rsid w:val="009D5521"/>
  </w:style>
  <w:style w:type="paragraph" w:customStyle="1" w:styleId="msolistparagraphcxspmiddle">
    <w:name w:val="msolistparagraphcxspmiddle"/>
    <w:basedOn w:val="Normal"/>
    <w:semiHidden/>
    <w:rsid w:val="009D5521"/>
    <w:pPr>
      <w:spacing w:before="100" w:beforeAutospacing="1" w:after="100" w:afterAutospacing="1" w:line="240" w:lineRule="auto"/>
    </w:pPr>
    <w:rPr>
      <w:rFonts w:cs="Times New Roman"/>
      <w:sz w:val="24"/>
      <w:szCs w:val="24"/>
      <w:lang w:val="en-US"/>
    </w:rPr>
  </w:style>
  <w:style w:type="character" w:customStyle="1" w:styleId="links4">
    <w:name w:val="links4"/>
    <w:basedOn w:val="DefaultParagraphFont"/>
    <w:semiHidden/>
    <w:rsid w:val="009D5521"/>
  </w:style>
  <w:style w:type="character" w:customStyle="1" w:styleId="links2">
    <w:name w:val="links2"/>
    <w:basedOn w:val="DefaultParagraphFont"/>
    <w:semiHidden/>
    <w:rsid w:val="009D5521"/>
  </w:style>
  <w:style w:type="character" w:customStyle="1" w:styleId="Date1">
    <w:name w:val="Date1"/>
    <w:basedOn w:val="DefaultParagraphFont"/>
    <w:semiHidden/>
    <w:rsid w:val="009D5521"/>
  </w:style>
  <w:style w:type="character" w:customStyle="1" w:styleId="FooterChar">
    <w:name w:val="Footer Char"/>
    <w:uiPriority w:val="99"/>
    <w:semiHidden/>
    <w:locked/>
    <w:rsid w:val="00537C58"/>
    <w:rPr>
      <w:sz w:val="22"/>
      <w:lang w:val="x-none" w:eastAsia="en-US"/>
    </w:rPr>
  </w:style>
  <w:style w:type="character" w:customStyle="1" w:styleId="FootnoteTextChar">
    <w:name w:val="Footnote Text Char"/>
    <w:uiPriority w:val="99"/>
    <w:semiHidden/>
    <w:locked/>
    <w:rsid w:val="00537C58"/>
    <w:rPr>
      <w:rFonts w:eastAsia="Times New Roman"/>
      <w:lang w:val="en-US" w:eastAsia="en-US"/>
    </w:rPr>
  </w:style>
  <w:style w:type="character" w:customStyle="1" w:styleId="apple-style-span">
    <w:name w:val="apple-style-span"/>
    <w:semiHidden/>
    <w:rsid w:val="00537C58"/>
    <w:rPr>
      <w:rFonts w:cs="Times New Roman"/>
    </w:rPr>
  </w:style>
  <w:style w:type="character" w:customStyle="1" w:styleId="st">
    <w:name w:val="st"/>
    <w:semiHidden/>
    <w:rsid w:val="00537C58"/>
    <w:rPr>
      <w:rFonts w:cs="Times New Roman"/>
    </w:rPr>
  </w:style>
  <w:style w:type="character" w:customStyle="1" w:styleId="sign2">
    <w:name w:val="sign2"/>
    <w:semiHidden/>
    <w:rsid w:val="00A6584E"/>
    <w:rPr>
      <w:rFonts w:ascii="Times New Roman" w:hAnsi="Times New Roman" w:cs="Times New Roman" w:hint="default"/>
      <w:color w:val="FB7600"/>
      <w:sz w:val="24"/>
      <w:szCs w:val="24"/>
    </w:rPr>
  </w:style>
  <w:style w:type="character" w:customStyle="1" w:styleId="Heading1Char">
    <w:name w:val="Heading 1 Char"/>
    <w:uiPriority w:val="9"/>
    <w:locked/>
    <w:rsid w:val="00F0713C"/>
    <w:rPr>
      <w:rFonts w:ascii="Cambria" w:eastAsia="Times New Roman" w:hAnsi="Cambria" w:cs="Times New Roman"/>
      <w:b/>
      <w:bCs/>
      <w:color w:val="365F91"/>
      <w:sz w:val="28"/>
      <w:szCs w:val="28"/>
    </w:rPr>
  </w:style>
  <w:style w:type="character" w:customStyle="1" w:styleId="cq35rl0">
    <w:name w:val="cq35rl0"/>
    <w:semiHidden/>
    <w:rsid w:val="00F0713C"/>
    <w:rPr>
      <w:rFonts w:cs="Times New Roman"/>
    </w:rPr>
  </w:style>
  <w:style w:type="character" w:customStyle="1" w:styleId="internetlink">
    <w:name w:val="internetlink"/>
    <w:semiHidden/>
    <w:rsid w:val="00F0713C"/>
    <w:rPr>
      <w:rFonts w:cs="Times New Roman"/>
    </w:rPr>
  </w:style>
  <w:style w:type="character" w:customStyle="1" w:styleId="gen">
    <w:name w:val="gen"/>
    <w:semiHidden/>
    <w:rsid w:val="00F0713C"/>
    <w:rPr>
      <w:rFonts w:cs="Times New Roman"/>
    </w:rPr>
  </w:style>
  <w:style w:type="paragraph" w:customStyle="1" w:styleId="Style15">
    <w:name w:val="Style 15"/>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FootnoteTextChar1">
    <w:name w:val="Footnote Text Char1"/>
    <w:semiHidden/>
    <w:locked/>
    <w:rsid w:val="00F0713C"/>
    <w:rPr>
      <w:rFonts w:ascii="Times New Roman" w:hAnsi="Times New Roman" w:cs="Times New Roman"/>
      <w:sz w:val="20"/>
      <w:szCs w:val="20"/>
    </w:rPr>
  </w:style>
  <w:style w:type="character" w:customStyle="1" w:styleId="HeaderChar1">
    <w:name w:val="Header Char1"/>
    <w:semiHidden/>
    <w:locked/>
    <w:rsid w:val="00F0713C"/>
    <w:rPr>
      <w:rFonts w:ascii="Times New Roman" w:eastAsia="PMingLiU" w:hAnsi="Times New Roman" w:cs="Times New Roman"/>
      <w:sz w:val="24"/>
      <w:szCs w:val="24"/>
      <w:lang w:val="x-none" w:eastAsia="zh-TW"/>
    </w:rPr>
  </w:style>
  <w:style w:type="character" w:customStyle="1" w:styleId="BodyTextIndent2Char1">
    <w:name w:val="Body Text Indent 2 Char1"/>
    <w:semiHidden/>
    <w:locked/>
    <w:rsid w:val="00F0713C"/>
    <w:rPr>
      <w:rFonts w:ascii="Arial" w:hAnsi="Arial" w:cs="Arial"/>
    </w:rPr>
  </w:style>
  <w:style w:type="character" w:customStyle="1" w:styleId="FooterChar1">
    <w:name w:val="Footer Char1"/>
    <w:semiHidden/>
    <w:locked/>
    <w:rsid w:val="00F0713C"/>
    <w:rPr>
      <w:rFonts w:cs="Times New Roman"/>
      <w:sz w:val="24"/>
      <w:szCs w:val="24"/>
    </w:rPr>
  </w:style>
  <w:style w:type="character" w:customStyle="1" w:styleId="FootnoteTextChar2">
    <w:name w:val="Footnote Text Char2"/>
    <w:semiHidden/>
    <w:locked/>
    <w:rsid w:val="00F0713C"/>
    <w:rPr>
      <w:rFonts w:cs="Times New Roman"/>
      <w:sz w:val="20"/>
      <w:szCs w:val="20"/>
    </w:rPr>
  </w:style>
  <w:style w:type="character" w:customStyle="1" w:styleId="HeaderChar2">
    <w:name w:val="Header Char2"/>
    <w:semiHidden/>
    <w:locked/>
    <w:rsid w:val="00F0713C"/>
    <w:rPr>
      <w:rFonts w:cs="Times New Roman"/>
    </w:rPr>
  </w:style>
  <w:style w:type="character" w:customStyle="1" w:styleId="FooterChar2">
    <w:name w:val="Footer Char2"/>
    <w:semiHidden/>
    <w:locked/>
    <w:rsid w:val="00F0713C"/>
    <w:rPr>
      <w:rFonts w:cs="Times New Roman"/>
    </w:rPr>
  </w:style>
  <w:style w:type="paragraph" w:customStyle="1" w:styleId="Style151">
    <w:name w:val="Style 151"/>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2">
    <w:name w:val="Body Text Indent 2 Char2"/>
    <w:semiHidden/>
    <w:locked/>
    <w:rsid w:val="00F0713C"/>
    <w:rPr>
      <w:rFonts w:ascii="Arial" w:hAnsi="Arial" w:cs="Arial"/>
      <w:lang w:val="en-US" w:eastAsia="en-US"/>
    </w:rPr>
  </w:style>
  <w:style w:type="character" w:customStyle="1" w:styleId="FootnoteTextChar3">
    <w:name w:val="Footnote Text Char3"/>
    <w:semiHidden/>
    <w:locked/>
    <w:rsid w:val="00F0713C"/>
    <w:rPr>
      <w:rFonts w:cs="Times New Roman"/>
      <w:sz w:val="20"/>
      <w:szCs w:val="20"/>
    </w:rPr>
  </w:style>
  <w:style w:type="character" w:customStyle="1" w:styleId="HeaderChar3">
    <w:name w:val="Header Char3"/>
    <w:semiHidden/>
    <w:locked/>
    <w:rsid w:val="00F0713C"/>
    <w:rPr>
      <w:rFonts w:cs="Times New Roman"/>
    </w:rPr>
  </w:style>
  <w:style w:type="character" w:customStyle="1" w:styleId="FooterChar3">
    <w:name w:val="Footer Char3"/>
    <w:semiHidden/>
    <w:locked/>
    <w:rsid w:val="00F0713C"/>
    <w:rPr>
      <w:rFonts w:cs="Times New Roman"/>
    </w:rPr>
  </w:style>
  <w:style w:type="paragraph" w:customStyle="1" w:styleId="Style152">
    <w:name w:val="Style 152"/>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3">
    <w:name w:val="Body Text Indent 2 Char3"/>
    <w:semiHidden/>
    <w:locked/>
    <w:rsid w:val="00F0713C"/>
    <w:rPr>
      <w:rFonts w:ascii="Arial" w:hAnsi="Arial" w:cs="Arial"/>
      <w:lang w:val="en-US" w:eastAsia="en-US"/>
    </w:rPr>
  </w:style>
  <w:style w:type="character" w:customStyle="1" w:styleId="FooterChar4">
    <w:name w:val="Footer Char4"/>
    <w:semiHidden/>
    <w:locked/>
    <w:rsid w:val="00F0713C"/>
    <w:rPr>
      <w:rFonts w:cs="Arial"/>
    </w:rPr>
  </w:style>
  <w:style w:type="paragraph" w:customStyle="1" w:styleId="Style153">
    <w:name w:val="Style 153"/>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4">
    <w:name w:val="Body Text Indent 2 Char4"/>
    <w:semiHidden/>
    <w:locked/>
    <w:rsid w:val="00F0713C"/>
    <w:rPr>
      <w:rFonts w:ascii="Arial" w:hAnsi="Arial" w:cs="Arial"/>
      <w:lang w:val="en-US" w:eastAsia="en-US"/>
    </w:rPr>
  </w:style>
  <w:style w:type="character" w:customStyle="1" w:styleId="HeaderChar4">
    <w:name w:val="Header Char4"/>
    <w:semiHidden/>
    <w:locked/>
    <w:rsid w:val="00F0713C"/>
    <w:rPr>
      <w:rFonts w:cs="Arial"/>
    </w:rPr>
  </w:style>
  <w:style w:type="character" w:customStyle="1" w:styleId="FooterChar5">
    <w:name w:val="Footer Char5"/>
    <w:semiHidden/>
    <w:locked/>
    <w:rsid w:val="00F0713C"/>
    <w:rPr>
      <w:rFonts w:cs="Arial"/>
    </w:rPr>
  </w:style>
  <w:style w:type="character" w:customStyle="1" w:styleId="FooterChar6">
    <w:name w:val="Footer Char6"/>
    <w:semiHidden/>
    <w:locked/>
    <w:rsid w:val="00F0713C"/>
    <w:rPr>
      <w:rFonts w:cs="Arial"/>
    </w:rPr>
  </w:style>
  <w:style w:type="character" w:customStyle="1" w:styleId="FooterChar7">
    <w:name w:val="Footer Char7"/>
    <w:semiHidden/>
    <w:rsid w:val="00F0713C"/>
    <w:rPr>
      <w:rFonts w:eastAsia="Times New Roman" w:cs="Times New Roman"/>
      <w:lang w:val="id-ID" w:eastAsia="x-none"/>
    </w:rPr>
  </w:style>
  <w:style w:type="character" w:customStyle="1" w:styleId="FooterChar8">
    <w:name w:val="Footer Char8"/>
    <w:semiHidden/>
    <w:rsid w:val="00F0713C"/>
    <w:rPr>
      <w:rFonts w:eastAsia="Times New Roman" w:cs="Times New Roman"/>
      <w:lang w:val="id-ID" w:eastAsia="x-none"/>
    </w:rPr>
  </w:style>
  <w:style w:type="character" w:customStyle="1" w:styleId="FooterChar9">
    <w:name w:val="Footer Char9"/>
    <w:semiHidden/>
    <w:rsid w:val="00F0713C"/>
    <w:rPr>
      <w:rFonts w:eastAsia="Times New Roman" w:cs="Times New Roman"/>
      <w:lang w:val="id-ID" w:eastAsia="x-none"/>
    </w:rPr>
  </w:style>
  <w:style w:type="character" w:customStyle="1" w:styleId="CharChar19">
    <w:name w:val="Char Char19"/>
    <w:semiHidden/>
    <w:locked/>
    <w:rsid w:val="00740103"/>
    <w:rPr>
      <w:rFonts w:ascii="Arial" w:hAnsi="Arial" w:cs="Arial"/>
      <w:b/>
      <w:bCs/>
      <w:kern w:val="32"/>
      <w:sz w:val="32"/>
      <w:szCs w:val="32"/>
      <w:lang w:val="id-ID" w:eastAsia="en-US" w:bidi="ar-SA"/>
    </w:rPr>
  </w:style>
  <w:style w:type="character" w:customStyle="1" w:styleId="CharChar17">
    <w:name w:val="Char Char17"/>
    <w:semiHidden/>
    <w:locked/>
    <w:rsid w:val="00740103"/>
    <w:rPr>
      <w:rFonts w:ascii="Arial" w:hAnsi="Arial" w:cs="Arial"/>
      <w:b/>
      <w:bCs/>
      <w:sz w:val="26"/>
      <w:szCs w:val="26"/>
      <w:lang w:val="id-ID" w:eastAsia="en-US" w:bidi="ar-SA"/>
    </w:rPr>
  </w:style>
  <w:style w:type="character" w:customStyle="1" w:styleId="CharChar16">
    <w:name w:val="Char Char16"/>
    <w:semiHidden/>
    <w:rsid w:val="00740103"/>
    <w:rPr>
      <w:lang w:bidi="ar-SA"/>
    </w:rPr>
  </w:style>
  <w:style w:type="character" w:customStyle="1" w:styleId="Bodytext0">
    <w:name w:val="Body text_"/>
    <w:link w:val="BodyText20"/>
    <w:rsid w:val="00131B7E"/>
    <w:rPr>
      <w:shd w:val="clear" w:color="auto" w:fill="FFFFFF"/>
      <w:lang w:bidi="ar-SA"/>
    </w:rPr>
  </w:style>
  <w:style w:type="paragraph" w:customStyle="1" w:styleId="BodyText20">
    <w:name w:val="Body Text2"/>
    <w:basedOn w:val="Normal"/>
    <w:link w:val="Bodytext0"/>
    <w:semiHidden/>
    <w:rsid w:val="00131B7E"/>
    <w:pPr>
      <w:shd w:val="clear" w:color="auto" w:fill="FFFFFF"/>
      <w:spacing w:after="0" w:line="518" w:lineRule="exact"/>
      <w:ind w:hanging="380"/>
      <w:jc w:val="both"/>
    </w:pPr>
    <w:rPr>
      <w:rFonts w:ascii="Times New Roman" w:hAnsi="Times New Roman" w:cs="Times New Roman"/>
      <w:sz w:val="20"/>
      <w:szCs w:val="20"/>
      <w:shd w:val="clear" w:color="auto" w:fill="FFFFFF"/>
      <w:lang w:val="en-US"/>
    </w:rPr>
  </w:style>
  <w:style w:type="character" w:customStyle="1" w:styleId="Bodytext3">
    <w:name w:val="Body text (3)_"/>
    <w:link w:val="Bodytext30"/>
    <w:rsid w:val="00131B7E"/>
    <w:rPr>
      <w:sz w:val="22"/>
      <w:szCs w:val="22"/>
      <w:shd w:val="clear" w:color="auto" w:fill="FFFFFF"/>
      <w:lang w:bidi="ar-SA"/>
    </w:rPr>
  </w:style>
  <w:style w:type="paragraph" w:customStyle="1" w:styleId="Bodytext30">
    <w:name w:val="Body text (3)"/>
    <w:basedOn w:val="Normal"/>
    <w:link w:val="Bodytext3"/>
    <w:semiHidden/>
    <w:rsid w:val="00131B7E"/>
    <w:pPr>
      <w:shd w:val="clear" w:color="auto" w:fill="FFFFFF"/>
      <w:spacing w:before="240" w:after="0" w:line="458" w:lineRule="exact"/>
      <w:jc w:val="center"/>
    </w:pPr>
    <w:rPr>
      <w:rFonts w:ascii="Times New Roman" w:hAnsi="Times New Roman" w:cs="Times New Roman"/>
      <w:shd w:val="clear" w:color="auto" w:fill="FFFFFF"/>
      <w:lang w:val="en-US"/>
    </w:rPr>
  </w:style>
  <w:style w:type="character" w:customStyle="1" w:styleId="Bodytext3Italic">
    <w:name w:val="Body text (3) + Italic"/>
    <w:semiHidden/>
    <w:rsid w:val="00131B7E"/>
    <w:rPr>
      <w:rFonts w:ascii="Times New Roman" w:eastAsia="Times New Roman" w:hAnsi="Times New Roman" w:cs="Times New Roman"/>
      <w:i/>
      <w:iCs/>
      <w:sz w:val="22"/>
      <w:szCs w:val="22"/>
      <w:shd w:val="clear" w:color="auto" w:fill="FFFFFF"/>
    </w:rPr>
  </w:style>
  <w:style w:type="character" w:customStyle="1" w:styleId="citation">
    <w:name w:val="citation"/>
    <w:semiHidden/>
    <w:rsid w:val="00131B7E"/>
  </w:style>
  <w:style w:type="paragraph" w:customStyle="1" w:styleId="FOOT-NOT">
    <w:name w:val="FOOT-NOT"/>
    <w:basedOn w:val="ISI"/>
    <w:qFormat/>
    <w:rsid w:val="00131B7E"/>
    <w:pPr>
      <w:spacing w:after="40" w:line="220" w:lineRule="exact"/>
      <w:ind w:firstLine="425"/>
    </w:pPr>
    <w:rPr>
      <w:rFonts w:ascii="Times New Arabic" w:hAnsi="Times New Arabic" w:cs="Traditional Arabic"/>
      <w:spacing w:val="-4"/>
      <w:sz w:val="18"/>
      <w:szCs w:val="18"/>
    </w:rPr>
  </w:style>
  <w:style w:type="character" w:customStyle="1" w:styleId="Bodytext2Bold">
    <w:name w:val="Body text (2) + Bold"/>
    <w:aliases w:val="Italic,Body text (3) + 10.5 pt"/>
    <w:semiHidden/>
    <w:rsid w:val="00131B7E"/>
    <w:rPr>
      <w:rFonts w:ascii="Book Antiqua" w:eastAsia="Book Antiqua" w:hAnsi="Book Antiqua" w:cs="Book Antiqua"/>
      <w:b/>
      <w:bCs/>
      <w:i/>
      <w:iCs/>
      <w:smallCaps w:val="0"/>
      <w:strike w:val="0"/>
      <w:spacing w:val="0"/>
      <w:sz w:val="19"/>
      <w:szCs w:val="19"/>
    </w:rPr>
  </w:style>
  <w:style w:type="character" w:customStyle="1" w:styleId="Bodytext210pt">
    <w:name w:val="Body text (2) + 10 pt"/>
    <w:aliases w:val="Bold"/>
    <w:semiHidden/>
    <w:rsid w:val="00131B7E"/>
    <w:rPr>
      <w:rFonts w:ascii="Book Antiqua" w:eastAsia="Book Antiqua" w:hAnsi="Book Antiqua" w:cs="Book Antiqua"/>
      <w:b/>
      <w:bCs/>
      <w:i w:val="0"/>
      <w:iCs w:val="0"/>
      <w:smallCaps w:val="0"/>
      <w:strike w:val="0"/>
      <w:spacing w:val="0"/>
      <w:sz w:val="20"/>
      <w:szCs w:val="20"/>
      <w:shd w:val="clear" w:color="auto" w:fill="FFFFFF"/>
    </w:rPr>
  </w:style>
  <w:style w:type="character" w:customStyle="1" w:styleId="Bodytext395pt">
    <w:name w:val="Body text (3) + 9.5 pt"/>
    <w:aliases w:val="Not Bold,Body text + 10 pt"/>
    <w:semiHidden/>
    <w:rsid w:val="00131B7E"/>
    <w:rPr>
      <w:rFonts w:ascii="Book Antiqua" w:eastAsia="Book Antiqua" w:hAnsi="Book Antiqua" w:cs="Book Antiqua"/>
      <w:b/>
      <w:bCs/>
      <w:i w:val="0"/>
      <w:iCs w:val="0"/>
      <w:smallCaps w:val="0"/>
      <w:strike w:val="0"/>
      <w:spacing w:val="0"/>
      <w:sz w:val="19"/>
      <w:szCs w:val="19"/>
      <w:shd w:val="clear" w:color="auto" w:fill="FFFFFF"/>
    </w:rPr>
  </w:style>
  <w:style w:type="character" w:customStyle="1" w:styleId="BodytextNotBold">
    <w:name w:val="Body text + Not Bold"/>
    <w:aliases w:val="Not Italic"/>
    <w:semiHidden/>
    <w:rsid w:val="00131B7E"/>
    <w:rPr>
      <w:rFonts w:ascii="Book Antiqua" w:eastAsia="Book Antiqua" w:hAnsi="Book Antiqua" w:cs="Book Antiqua"/>
      <w:b/>
      <w:bCs/>
      <w:i/>
      <w:iCs/>
      <w:smallCaps w:val="0"/>
      <w:strike w:val="0"/>
      <w:spacing w:val="0"/>
      <w:sz w:val="19"/>
      <w:szCs w:val="19"/>
      <w:shd w:val="clear" w:color="auto" w:fill="FFFFFF"/>
    </w:rPr>
  </w:style>
  <w:style w:type="character" w:customStyle="1" w:styleId="5yl5">
    <w:name w:val="_5yl5"/>
    <w:basedOn w:val="DefaultParagraphFont"/>
    <w:semiHidden/>
    <w:rsid w:val="00643E1C"/>
  </w:style>
  <w:style w:type="paragraph" w:customStyle="1" w:styleId="Style2">
    <w:name w:val="Style2"/>
    <w:basedOn w:val="ISI"/>
    <w:semiHidden/>
    <w:rsid w:val="00063E39"/>
    <w:rPr>
      <w:lang w:val="en-US"/>
    </w:rPr>
  </w:style>
  <w:style w:type="character" w:customStyle="1" w:styleId="a">
    <w:name w:val="a"/>
    <w:semiHidden/>
    <w:rsid w:val="005443D4"/>
    <w:rPr>
      <w:rFonts w:cs="Times New Roman"/>
    </w:rPr>
  </w:style>
  <w:style w:type="character" w:customStyle="1" w:styleId="publication-meta-journal">
    <w:name w:val="publication-meta-journal"/>
    <w:basedOn w:val="DefaultParagraphFont"/>
    <w:semiHidden/>
    <w:rsid w:val="00AC52D6"/>
  </w:style>
  <w:style w:type="character" w:customStyle="1" w:styleId="size-xl">
    <w:name w:val="size-xl"/>
    <w:basedOn w:val="DefaultParagraphFont"/>
    <w:semiHidden/>
    <w:rsid w:val="00AC52D6"/>
  </w:style>
  <w:style w:type="character" w:customStyle="1" w:styleId="size-m">
    <w:name w:val="size-m"/>
    <w:basedOn w:val="DefaultParagraphFont"/>
    <w:semiHidden/>
    <w:rsid w:val="00AC52D6"/>
  </w:style>
  <w:style w:type="character" w:customStyle="1" w:styleId="smallcaps">
    <w:name w:val="smallcaps"/>
    <w:basedOn w:val="DefaultParagraphFont"/>
    <w:semiHidden/>
    <w:rsid w:val="00AC52D6"/>
  </w:style>
  <w:style w:type="character" w:customStyle="1" w:styleId="publication-meta-date">
    <w:name w:val="publication-meta-date"/>
    <w:basedOn w:val="DefaultParagraphFont"/>
    <w:semiHidden/>
    <w:rsid w:val="00AC52D6"/>
  </w:style>
  <w:style w:type="character" w:customStyle="1" w:styleId="publication-author-position">
    <w:name w:val="publication-author-position"/>
    <w:basedOn w:val="DefaultParagraphFont"/>
    <w:semiHidden/>
    <w:rsid w:val="00AC52D6"/>
  </w:style>
  <w:style w:type="paragraph" w:styleId="HTMLPreformatted">
    <w:name w:val="HTML Preformatted"/>
    <w:basedOn w:val="Normal"/>
    <w:semiHidden/>
    <w:unhideWhenUsed/>
    <w:rsid w:val="00AC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paragraph" w:styleId="Bibliography">
    <w:name w:val="Bibliography"/>
    <w:basedOn w:val="Normal"/>
    <w:next w:val="Normal"/>
    <w:unhideWhenUsed/>
    <w:rsid w:val="00AC52D6"/>
    <w:rPr>
      <w:rFonts w:eastAsia="Calibri"/>
      <w:lang w:val="en-US"/>
    </w:rPr>
  </w:style>
  <w:style w:type="paragraph" w:customStyle="1" w:styleId="IGAMBAR">
    <w:name w:val="I_GAMBAR"/>
    <w:basedOn w:val="Normal"/>
    <w:rsid w:val="00B14EF4"/>
    <w:pPr>
      <w:autoSpaceDE w:val="0"/>
      <w:autoSpaceDN w:val="0"/>
      <w:adjustRightInd w:val="0"/>
      <w:spacing w:before="240" w:after="120" w:line="240" w:lineRule="auto"/>
      <w:jc w:val="center"/>
    </w:pPr>
    <w:rPr>
      <w:rFonts w:cs="Times New Roman"/>
      <w:bCs/>
      <w:spacing w:val="3"/>
      <w:sz w:val="20"/>
      <w:szCs w:val="20"/>
    </w:rPr>
  </w:style>
  <w:style w:type="character" w:customStyle="1" w:styleId="notranslate">
    <w:name w:val="notranslate"/>
    <w:semiHidden/>
    <w:rsid w:val="00C63058"/>
  </w:style>
  <w:style w:type="character" w:customStyle="1" w:styleId="UnresolvedMention1">
    <w:name w:val="Unresolved Mention1"/>
    <w:uiPriority w:val="99"/>
    <w:semiHidden/>
    <w:unhideWhenUsed/>
    <w:rsid w:val="00C63058"/>
    <w:rPr>
      <w:color w:val="605E5C"/>
      <w:shd w:val="clear" w:color="auto" w:fill="E1DFDD"/>
    </w:rPr>
  </w:style>
  <w:style w:type="character" w:styleId="CommentReference">
    <w:name w:val="annotation reference"/>
    <w:unhideWhenUsed/>
    <w:rsid w:val="00C63058"/>
    <w:rPr>
      <w:sz w:val="16"/>
      <w:szCs w:val="16"/>
    </w:rPr>
  </w:style>
  <w:style w:type="paragraph" w:customStyle="1" w:styleId="IJUDULBARU">
    <w:name w:val="I_JUDUL BARU"/>
    <w:basedOn w:val="Normal"/>
    <w:rsid w:val="00DB1AD2"/>
    <w:pPr>
      <w:spacing w:before="600" w:after="360" w:line="320" w:lineRule="exact"/>
      <w:ind w:left="567" w:right="567"/>
      <w:jc w:val="center"/>
      <w:outlineLvl w:val="0"/>
    </w:pPr>
    <w:rPr>
      <w:rFonts w:ascii="Cambria" w:eastAsia="Calibri" w:hAnsi="Cambria" w:cs="Times New Roman"/>
      <w:b/>
      <w:bCs/>
      <w:noProof/>
      <w:spacing w:val="-8"/>
      <w:sz w:val="28"/>
      <w:szCs w:val="24"/>
    </w:rPr>
  </w:style>
  <w:style w:type="character" w:customStyle="1" w:styleId="IKeyWordsChar">
    <w:name w:val="I_KeyWords Char"/>
    <w:link w:val="IKeyWords"/>
    <w:rsid w:val="00DB1AD2"/>
    <w:rPr>
      <w:rFonts w:ascii="Cambria" w:eastAsia="Batang" w:hAnsi="Cambria" w:cs="Calibri"/>
      <w:b/>
      <w:spacing w:val="-10"/>
      <w:sz w:val="16"/>
      <w:szCs w:val="16"/>
      <w:lang w:val="nl-N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45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BDE07-9C7E-4925-A06F-68C724C6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18503</Words>
  <Characters>105471</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REINTERPRETASI MAṢLAḤAH SEBAGAI METODE</vt:lpstr>
    </vt:vector>
  </TitlesOfParts>
  <Company/>
  <LinksUpToDate>false</LinksUpToDate>
  <CharactersWithSpaces>123727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REINTERPRETASI MAṢLAḤAH SEBAGAI METODE</dc:title>
  <dc:subject/>
  <dc:creator>Helmi</dc:creator>
  <cp:keywords/>
  <dc:description/>
  <cp:lastModifiedBy>maya</cp:lastModifiedBy>
  <cp:revision>3</cp:revision>
  <cp:lastPrinted>2019-07-31T23:38:00Z</cp:lastPrinted>
  <dcterms:created xsi:type="dcterms:W3CDTF">2022-06-08T05:36:00Z</dcterms:created>
  <dcterms:modified xsi:type="dcterms:W3CDTF">2022-06-08T05:36:00Z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2485a7b1-a452-3505-8ab4-147f2bc6dc68</vt:lpwstr>
  </property>
  <property fmtid="{D5CDD505-2E9C-101B-9397-08002B2CF9AE}" pid="24" name="Mendeley Citation Style_1">
    <vt:lpwstr>http://www.zotero.org/styles/apa</vt:lpwstr>
  </property>
</Properties>
</file>