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1" w:rsidRDefault="007C6311">
      <w:pPr>
        <w:spacing w:line="276" w:lineRule="auto"/>
        <w:jc w:val="center"/>
        <w:rPr>
          <w:rFonts w:ascii="Times New Arabic" w:hAnsi="Times New Arabic" w:cstheme="majorBidi"/>
          <w:b/>
          <w:bCs/>
          <w:sz w:val="30"/>
          <w:szCs w:val="30"/>
        </w:rPr>
      </w:pPr>
      <w:r>
        <w:rPr>
          <w:rFonts w:asciiTheme="majorHAnsi" w:hAnsiTheme="majorHAnsi" w:cstheme="majorBidi"/>
          <w:b/>
          <w:bCs/>
          <w:noProof/>
          <w:sz w:val="32"/>
          <w:szCs w:val="32"/>
        </w:rPr>
        <mc:AlternateContent>
          <mc:Choice Requires="wps">
            <w:drawing>
              <wp:anchor distT="0" distB="0" distL="114300" distR="114300" simplePos="0" relativeHeight="251686912" behindDoc="0" locked="0" layoutInCell="1" allowOverlap="1">
                <wp:simplePos x="0" y="0"/>
                <wp:positionH relativeFrom="column">
                  <wp:posOffset>530619</wp:posOffset>
                </wp:positionH>
                <wp:positionV relativeFrom="paragraph">
                  <wp:posOffset>-550654</wp:posOffset>
                </wp:positionV>
                <wp:extent cx="5007610" cy="60515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605155"/>
                        </a:xfrm>
                        <a:prstGeom prst="rect">
                          <a:avLst/>
                        </a:prstGeom>
                        <a:solidFill>
                          <a:srgbClr val="FFFFFF"/>
                        </a:solidFill>
                        <a:ln w="9525">
                          <a:noFill/>
                          <a:miter lim="800000"/>
                          <a:headEnd/>
                          <a:tailEnd/>
                        </a:ln>
                      </wps:spPr>
                      <wps:txbx>
                        <w:txbxContent>
                          <w:p w:rsidR="00CE2791" w:rsidRDefault="007C6311" w:rsidP="00015871">
                            <w:pPr>
                              <w:spacing w:line="240" w:lineRule="auto"/>
                              <w:jc w:val="center"/>
                              <w:rPr>
                                <w:rFonts w:ascii="Times New Arabic" w:hAnsi="Times New Arabic"/>
                                <w:color w:val="auto"/>
                                <w:spacing w:val="-2"/>
                                <w:sz w:val="22"/>
                              </w:rPr>
                            </w:pPr>
                            <w:r>
                              <w:rPr>
                                <w:rFonts w:ascii="Times New Arabic" w:hAnsi="Times New Arabic"/>
                                <w:b/>
                                <w:bCs/>
                                <w:color w:val="auto"/>
                                <w:sz w:val="22"/>
                              </w:rPr>
                              <w:t>Teosofia</w:t>
                            </w:r>
                            <w:r>
                              <w:rPr>
                                <w:rFonts w:ascii="Times New Arabic" w:hAnsi="Times New Arabic"/>
                                <w:color w:val="auto"/>
                                <w:sz w:val="22"/>
                              </w:rPr>
                              <w:t xml:space="preserve">: </w:t>
                            </w:r>
                            <w:r>
                              <w:rPr>
                                <w:rFonts w:ascii="Times New Arabic" w:hAnsi="Times New Arabic"/>
                                <w:color w:val="auto"/>
                                <w:spacing w:val="-2"/>
                                <w:sz w:val="22"/>
                              </w:rPr>
                              <w:t>Indonesian Journal of Islamic Mysticism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43.35pt;width:394.3pt;height:4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" stroked="f">
                <v:textbox>
                  <w:txbxContent>
                    <w:p w:rsidR="00CE2791" w:rsidRDefault="007C6311" w:rsidP="00015871">
                      <w:pPr>
                        <w:spacing w:line="240" w:lineRule="auto"/>
                        <w:jc w:val="center"/>
                        <w:rPr>
                          <w:rFonts w:ascii="Times New Arabic" w:hAnsi="Times New Arabic"/>
                          <w:color w:val="auto"/>
                          <w:spacing w:val="-2"/>
                          <w:sz w:val="22"/>
                        </w:rPr>
                      </w:pPr>
                      <w:r>
                        <w:rPr>
                          <w:rFonts w:ascii="Times New Arabic" w:hAnsi="Times New Arabic"/>
                          <w:b/>
                          <w:bCs/>
                          <w:color w:val="auto"/>
                          <w:sz w:val="22"/>
                        </w:rPr>
                        <w:t>Teosofia</w:t>
                      </w:r>
                      <w:r>
                        <w:rPr>
                          <w:rFonts w:ascii="Times New Arabic" w:hAnsi="Times New Arabic"/>
                          <w:color w:val="auto"/>
                          <w:sz w:val="22"/>
                        </w:rPr>
                        <w:t xml:space="preserve">: </w:t>
                      </w:r>
                      <w:r>
                        <w:rPr>
                          <w:rFonts w:ascii="Times New Arabic" w:hAnsi="Times New Arabic"/>
                          <w:color w:val="auto"/>
                          <w:spacing w:val="-2"/>
                          <w:sz w:val="22"/>
                        </w:rPr>
                        <w:t>Indonesian Journal of Islamic Mysticism</w:t>
                      </w:r>
                    </w:p>
                  </w:txbxContent>
                </v:textbox>
              </v:shape>
            </w:pict>
          </mc:Fallback>
        </mc:AlternateContent>
      </w:r>
      <w:r>
        <w:rPr>
          <w:rFonts w:asciiTheme="majorHAnsi" w:hAnsiTheme="majorHAnsi" w:cstheme="majorBidi"/>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-931545</wp:posOffset>
                </wp:positionV>
                <wp:extent cx="6141085" cy="1104900"/>
                <wp:effectExtent l="0" t="0" r="12065" b="19050"/>
                <wp:wrapNone/>
                <wp:docPr id="11" name="Rectangle 11"/>
                <wp:cNvGraphicFramePr/>
                <a:graphic xmlns:a="http://schemas.openxmlformats.org/drawingml/2006/main">
                  <a:graphicData uri="http://schemas.microsoft.com/office/word/2010/wordprocessingShape">
                    <wps:wsp>
                      <wps:cNvSpPr/>
                      <wps:spPr>
                        <a:xfrm>
                          <a:off x="0" y="0"/>
                          <a:ext cx="6141085" cy="1104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B24C" id="Rectangle 11" o:spid="_x0000_s1026" style="position:absolute;margin-left:-11.05pt;margin-top:-73.35pt;width:483.55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" fillcolor="white [3212]" strokecolor="white [3212]" strokeweight="1pt"/>
            </w:pict>
          </mc:Fallback>
        </mc:AlternateContent>
      </w:r>
    </w:p>
    <w:p w:rsidR="00CE2791" w:rsidRDefault="00CE2791">
      <w:pPr>
        <w:spacing w:after="0" w:line="276" w:lineRule="auto"/>
        <w:rPr>
          <w:rFonts w:ascii="Times New Arabic" w:hAnsi="Times New Arabic"/>
          <w:b/>
          <w:bCs/>
          <w:sz w:val="28"/>
          <w:szCs w:val="28"/>
        </w:rPr>
      </w:pPr>
    </w:p>
    <w:p w:rsidR="00CE2791" w:rsidRDefault="007C6311">
      <w:pPr>
        <w:spacing w:after="0" w:line="276" w:lineRule="auto"/>
        <w:jc w:val="center"/>
        <w:rPr>
          <w:rFonts w:ascii="Times New Arabic" w:hAnsi="Times New Arabic"/>
          <w:b/>
          <w:bCs/>
          <w:sz w:val="30"/>
          <w:szCs w:val="30"/>
        </w:rPr>
      </w:pPr>
      <w:r>
        <w:rPr>
          <w:rFonts w:ascii="Times New Arabic" w:hAnsi="Times New Arabic"/>
          <w:b/>
          <w:bCs/>
          <w:sz w:val="30"/>
          <w:szCs w:val="30"/>
        </w:rPr>
        <w:t>THE [MAIN] TITLE OF THE PAPER, 15 PT FONT-SIZE, ALL IN BOLD, CAPITALS</w:t>
      </w:r>
    </w:p>
    <w:p w:rsidR="00CE2791" w:rsidRDefault="007C6311">
      <w:pPr>
        <w:spacing w:after="0" w:line="276" w:lineRule="auto"/>
        <w:jc w:val="center"/>
        <w:rPr>
          <w:rFonts w:ascii="Times New Arabic" w:hAnsi="Times New Arabic"/>
          <w:b/>
          <w:bCs/>
          <w:sz w:val="28"/>
          <w:szCs w:val="28"/>
        </w:rPr>
      </w:pPr>
      <w:r>
        <w:rPr>
          <w:rFonts w:ascii="Times New Arabic" w:hAnsi="Times New Arabic"/>
          <w:b/>
          <w:bCs/>
          <w:sz w:val="30"/>
          <w:szCs w:val="30"/>
        </w:rPr>
        <w:t>The Second Title, If Needed, for Narrowing the Issues Discussed in the Paper, Capitalized Each Word</w:t>
      </w:r>
    </w:p>
    <w:p w:rsidR="00CE2791" w:rsidRDefault="00CE2791">
      <w:pPr>
        <w:spacing w:after="0"/>
        <w:jc w:val="center"/>
        <w:rPr>
          <w:rFonts w:ascii="Times New Arabic" w:hAnsi="Times New Arabic"/>
          <w:color w:val="FF0000"/>
          <w:rtl/>
        </w:rPr>
      </w:pPr>
    </w:p>
    <w:p w:rsidR="00CE2791" w:rsidRDefault="00CE2791">
      <w:pPr>
        <w:spacing w:after="0"/>
        <w:jc w:val="center"/>
        <w:rPr>
          <w:rFonts w:ascii="Times New Arabic" w:hAnsi="Times New Arabic"/>
          <w:color w:val="FF0000"/>
          <w:rtl/>
        </w:rPr>
      </w:pPr>
    </w:p>
    <w:p w:rsidR="00CE2791" w:rsidRPr="00015871" w:rsidRDefault="007C6311" w:rsidP="00015871">
      <w:pPr>
        <w:spacing w:after="0"/>
        <w:jc w:val="center"/>
        <w:rPr>
          <w:rFonts w:ascii="Times New Arabic" w:hAnsi="Times New Arabic"/>
          <w:color w:val="auto"/>
          <w:sz w:val="24"/>
          <w:szCs w:val="24"/>
        </w:rPr>
      </w:pPr>
      <w:r w:rsidRPr="00015871">
        <w:rPr>
          <w:rFonts w:ascii="Times New Arabic" w:hAnsi="Times New Arabic"/>
          <w:color w:val="auto"/>
          <w:sz w:val="24"/>
          <w:szCs w:val="24"/>
        </w:rPr>
        <w:t xml:space="preserve">The author’s name </w:t>
      </w:r>
    </w:p>
    <w:p w:rsidR="00CE2791" w:rsidRPr="00015871" w:rsidRDefault="007C6311">
      <w:pPr>
        <w:spacing w:after="0"/>
        <w:jc w:val="center"/>
        <w:rPr>
          <w:rFonts w:ascii="Times New Arabic" w:hAnsi="Times New Arabic"/>
          <w:i/>
          <w:iCs/>
          <w:color w:val="auto"/>
          <w:sz w:val="24"/>
          <w:szCs w:val="24"/>
        </w:rPr>
      </w:pPr>
      <w:r w:rsidRPr="00015871">
        <w:rPr>
          <w:rFonts w:ascii="Times New Arabic" w:hAnsi="Times New Arabic"/>
          <w:i/>
          <w:iCs/>
          <w:color w:val="auto"/>
          <w:sz w:val="24"/>
          <w:szCs w:val="24"/>
        </w:rPr>
        <w:t xml:space="preserve">The affiliation </w:t>
      </w:r>
    </w:p>
    <w:p w:rsidR="00CE2791" w:rsidRPr="00015871" w:rsidRDefault="007C6311">
      <w:pPr>
        <w:spacing w:after="0"/>
        <w:jc w:val="center"/>
        <w:rPr>
          <w:rFonts w:ascii="Times New Arabic" w:hAnsi="Times New Arabic"/>
          <w:color w:val="auto"/>
          <w:sz w:val="24"/>
          <w:szCs w:val="24"/>
        </w:rPr>
      </w:pPr>
      <w:r w:rsidRPr="00015871">
        <w:rPr>
          <w:rFonts w:ascii="Times New Arabic" w:hAnsi="Times New Arabic"/>
          <w:color w:val="auto"/>
          <w:sz w:val="24"/>
          <w:szCs w:val="24"/>
        </w:rPr>
        <w:t>Email</w:t>
      </w:r>
    </w:p>
    <w:p w:rsidR="00CE2791" w:rsidRPr="00015871" w:rsidRDefault="00CE2791">
      <w:pPr>
        <w:spacing w:after="0"/>
        <w:rPr>
          <w:rFonts w:ascii="Times New Arabic" w:hAnsi="Times New Arabic"/>
          <w:b/>
          <w:sz w:val="24"/>
          <w:szCs w:val="24"/>
          <w:rtl/>
        </w:rPr>
      </w:pPr>
    </w:p>
    <w:p w:rsidR="00CE2791" w:rsidRPr="00015871" w:rsidRDefault="007C6311">
      <w:pPr>
        <w:spacing w:after="0" w:line="276" w:lineRule="auto"/>
        <w:rPr>
          <w:rFonts w:ascii="Times New Arabic" w:hAnsi="Times New Arabic"/>
          <w:b/>
          <w:sz w:val="24"/>
          <w:szCs w:val="24"/>
        </w:rPr>
      </w:pPr>
      <w:r w:rsidRPr="00015871">
        <w:rPr>
          <w:rFonts w:ascii="Times New Arabic" w:hAnsi="Times New Arabic"/>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12700</wp:posOffset>
                </wp:positionH>
                <wp:positionV relativeFrom="paragraph">
                  <wp:posOffset>88265</wp:posOffset>
                </wp:positionV>
                <wp:extent cx="5734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506BF"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pt,6.95pt" to="45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" strokecolor="black [3213]" strokeweight=".5pt">
                <v:stroke joinstyle="miter"/>
              </v:line>
            </w:pict>
          </mc:Fallback>
        </mc:AlternateContent>
      </w:r>
    </w:p>
    <w:p w:rsidR="00CE2791" w:rsidRPr="00015871" w:rsidRDefault="007C6311">
      <w:pPr>
        <w:spacing w:after="0" w:line="276" w:lineRule="auto"/>
        <w:rPr>
          <w:rFonts w:ascii="Times New Arabic" w:hAnsi="Times New Arabic"/>
          <w:b/>
          <w:sz w:val="24"/>
          <w:szCs w:val="24"/>
        </w:rPr>
      </w:pPr>
      <w:r w:rsidRPr="00015871">
        <w:rPr>
          <w:rFonts w:ascii="Times New Arabic" w:hAnsi="Times New Arabic"/>
          <w:b/>
          <w:sz w:val="24"/>
          <w:szCs w:val="24"/>
        </w:rPr>
        <w:t>Abstract</w:t>
      </w:r>
    </w:p>
    <w:p w:rsidR="00CE2791" w:rsidRPr="00015871" w:rsidRDefault="007C6311">
      <w:pPr>
        <w:spacing w:after="0" w:line="276" w:lineRule="auto"/>
        <w:ind w:left="0" w:firstLine="0"/>
        <w:rPr>
          <w:rFonts w:ascii="Times New Arabic" w:hAnsi="Times New Arabic"/>
          <w:i/>
          <w:iCs/>
          <w:sz w:val="24"/>
          <w:szCs w:val="24"/>
        </w:rPr>
      </w:pPr>
      <w:r w:rsidRPr="00015871">
        <w:rPr>
          <w:rFonts w:ascii="Times New Arabic" w:hAnsi="Times New Arabic"/>
          <w:i/>
          <w:iCs/>
          <w:sz w:val="24"/>
          <w:szCs w:val="24"/>
        </w:rPr>
        <w:t xml:space="preserve">Write down here your paper’s abstract in one paragraph, in Italic style of font, no more than 150 words. </w:t>
      </w:r>
      <w:r w:rsidRPr="00015871">
        <w:rPr>
          <w:rFonts w:ascii="Times New Arabic" w:hAnsi="Times New Arabic"/>
          <w:sz w:val="24"/>
          <w:szCs w:val="24"/>
        </w:rPr>
        <w:t>Your text is here, in 11pt font-size, 1.15 line-spacing.</w:t>
      </w:r>
      <w:r w:rsidRPr="00015871">
        <w:rPr>
          <w:rFonts w:ascii="Times New Arabic" w:hAnsi="Times New Arabic"/>
          <w:i/>
          <w:iCs/>
          <w:sz w:val="24"/>
          <w:szCs w:val="24"/>
        </w:rPr>
        <w:t xml:space="preserve"> The abstract is not an “introduction”, nor the conclusion of the discussion. Instead, it should contain, but not limited to: (1) the main question and the background of the discussed issue; (2) the research position; (3) how the question is discussed in the paper; and (4) the main result of the discussion. Other important matters discussed in the paper that significantly contribute to the final result of the research may be noted here, but you have to consider, however, the limited space of the abstract. </w:t>
      </w:r>
    </w:p>
    <w:p w:rsidR="00CE2791" w:rsidRPr="00015871" w:rsidRDefault="00CE2791">
      <w:pPr>
        <w:spacing w:after="0" w:line="276" w:lineRule="auto"/>
        <w:ind w:left="14"/>
        <w:rPr>
          <w:rFonts w:ascii="Times New Arabic" w:hAnsi="Times New Arabic"/>
          <w:b/>
          <w:sz w:val="24"/>
          <w:szCs w:val="24"/>
        </w:rPr>
      </w:pPr>
    </w:p>
    <w:p w:rsidR="00CE2791" w:rsidRPr="00015871" w:rsidRDefault="007C6311">
      <w:pPr>
        <w:spacing w:after="0" w:line="276" w:lineRule="auto"/>
        <w:ind w:left="14" w:firstLine="0"/>
        <w:rPr>
          <w:rFonts w:ascii="Times New Arabic" w:hAnsi="Times New Arabic"/>
          <w:bCs/>
          <w:sz w:val="24"/>
          <w:szCs w:val="24"/>
        </w:rPr>
      </w:pPr>
      <w:r w:rsidRPr="00015871">
        <w:rPr>
          <w:rFonts w:ascii="Times New Arabic" w:hAnsi="Times New Arabic"/>
          <w:bCs/>
          <w:i/>
          <w:iCs/>
          <w:sz w:val="24"/>
          <w:szCs w:val="24"/>
        </w:rPr>
        <w:t>Keywords</w:t>
      </w:r>
      <w:r w:rsidRPr="00015871">
        <w:rPr>
          <w:rFonts w:ascii="Times New Arabic" w:hAnsi="Times New Arabic"/>
          <w:bCs/>
          <w:sz w:val="24"/>
          <w:szCs w:val="24"/>
        </w:rPr>
        <w:t>:</w:t>
      </w:r>
      <w:r w:rsidRPr="00015871">
        <w:rPr>
          <w:rFonts w:ascii="Times New Arabic" w:hAnsi="Times New Arabic"/>
          <w:b/>
          <w:sz w:val="24"/>
          <w:szCs w:val="24"/>
        </w:rPr>
        <w:t xml:space="preserve"> </w:t>
      </w:r>
      <w:r w:rsidRPr="00015871">
        <w:rPr>
          <w:rFonts w:ascii="Times New Arabic" w:hAnsi="Times New Arabic"/>
          <w:sz w:val="24"/>
          <w:szCs w:val="24"/>
        </w:rPr>
        <w:t xml:space="preserve">mention only specific concepts [word or phrase], 3-5 concepts, truly </w:t>
      </w:r>
      <w:r w:rsidRPr="00015871">
        <w:rPr>
          <w:rFonts w:ascii="Times New Arabic" w:hAnsi="Times New Arabic"/>
          <w:bCs/>
          <w:sz w:val="24"/>
          <w:szCs w:val="24"/>
        </w:rPr>
        <w:t>conceptual words,</w:t>
      </w:r>
      <w:r w:rsidRPr="00015871">
        <w:rPr>
          <w:rFonts w:ascii="Times New Arabic" w:hAnsi="Times New Arabic"/>
          <w:sz w:val="24"/>
          <w:szCs w:val="24"/>
        </w:rPr>
        <w:t xml:space="preserve"> and not</w:t>
      </w:r>
      <w:r w:rsidRPr="00015871">
        <w:rPr>
          <w:rFonts w:ascii="Times New Arabic" w:hAnsi="Times New Arabic"/>
          <w:b/>
          <w:sz w:val="24"/>
          <w:szCs w:val="24"/>
        </w:rPr>
        <w:t xml:space="preserve"> </w:t>
      </w:r>
      <w:r w:rsidRPr="00015871">
        <w:rPr>
          <w:rFonts w:ascii="Times New Arabic" w:hAnsi="Times New Arabic"/>
          <w:bCs/>
          <w:sz w:val="24"/>
          <w:szCs w:val="24"/>
        </w:rPr>
        <w:t>too general ones.</w:t>
      </w:r>
    </w:p>
    <w:p w:rsidR="00CE2791" w:rsidRPr="00015871" w:rsidRDefault="007C6311">
      <w:pPr>
        <w:spacing w:after="0"/>
        <w:ind w:left="284" w:hanging="284"/>
        <w:rPr>
          <w:rFonts w:ascii="Times New Arabic" w:hAnsi="Times New Arabic"/>
          <w:b/>
          <w:sz w:val="24"/>
          <w:szCs w:val="24"/>
          <w:rtl/>
        </w:rPr>
      </w:pPr>
      <w:r w:rsidRPr="00015871">
        <w:rPr>
          <w:rFonts w:ascii="Times New Arabic" w:hAnsi="Times New Arabic" w:hint="cs"/>
          <w:b/>
          <w:noProof/>
          <w:sz w:val="24"/>
          <w:szCs w:val="24"/>
          <w:rtl/>
        </w:rPr>
        <mc:AlternateContent>
          <mc:Choice Requires="wps">
            <w:drawing>
              <wp:anchor distT="0" distB="0" distL="114300" distR="114300" simplePos="0" relativeHeight="251688960" behindDoc="0" locked="0" layoutInCell="1" allowOverlap="1">
                <wp:simplePos x="0" y="0"/>
                <wp:positionH relativeFrom="column">
                  <wp:posOffset>12700</wp:posOffset>
                </wp:positionH>
                <wp:positionV relativeFrom="paragraph">
                  <wp:posOffset>63500</wp:posOffset>
                </wp:positionV>
                <wp:extent cx="5734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B6FD3" id="Straight Connector 4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pt,5pt" to="4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QN0QEAAAUEAAAOAAAAZHJzL2Uyb0RvYy54bWysU02P0zAQvSPxHyzfadK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" strokecolor="black [3213]" strokeweight=".5pt">
                <v:stroke joinstyle="miter"/>
              </v:line>
            </w:pict>
          </mc:Fallback>
        </mc:AlternateContent>
      </w:r>
    </w:p>
    <w:p w:rsidR="00CE2791" w:rsidRPr="00015871" w:rsidRDefault="00CE2791">
      <w:pPr>
        <w:spacing w:after="0" w:line="276" w:lineRule="auto"/>
        <w:ind w:left="284" w:hanging="284"/>
        <w:rPr>
          <w:rFonts w:ascii="Times New Arabic" w:hAnsi="Times New Arabic"/>
          <w:b/>
          <w:sz w:val="24"/>
          <w:szCs w:val="24"/>
        </w:rPr>
      </w:pPr>
    </w:p>
    <w:p w:rsidR="00CE2791" w:rsidRPr="00015871" w:rsidRDefault="007C6311">
      <w:pPr>
        <w:spacing w:after="0" w:line="276" w:lineRule="auto"/>
        <w:ind w:left="284" w:hanging="284"/>
        <w:rPr>
          <w:rFonts w:ascii="Times New Arabic" w:hAnsi="Times New Arabic"/>
          <w:sz w:val="24"/>
          <w:szCs w:val="24"/>
        </w:rPr>
      </w:pPr>
      <w:r w:rsidRPr="00015871">
        <w:rPr>
          <w:rFonts w:ascii="Times New Arabic" w:hAnsi="Times New Arabic"/>
          <w:b/>
          <w:sz w:val="24"/>
          <w:szCs w:val="24"/>
        </w:rPr>
        <w:t>A.</w:t>
      </w:r>
      <w:r w:rsidRPr="00015871">
        <w:rPr>
          <w:rFonts w:ascii="Times New Arabic" w:hAnsi="Times New Arabic"/>
          <w:b/>
          <w:sz w:val="24"/>
          <w:szCs w:val="24"/>
        </w:rPr>
        <w:tab/>
        <w:t>Introduction</w:t>
      </w:r>
      <w:r w:rsidRPr="00015871">
        <w:rPr>
          <w:rFonts w:ascii="Times New Arabic" w:hAnsi="Times New Arabic"/>
          <w:sz w:val="24"/>
          <w:szCs w:val="24"/>
        </w:rPr>
        <w:t xml:space="preserve"> </w:t>
      </w:r>
      <w:r w:rsidRPr="00015871">
        <w:rPr>
          <w:rFonts w:ascii="Times New Arabic" w:hAnsi="Times New Arabic"/>
          <w:b/>
          <w:bCs/>
          <w:sz w:val="24"/>
          <w:szCs w:val="24"/>
        </w:rPr>
        <w:t>[the First Section must be “Introduction”; Typed in Bold, List-style with ABCs Alphabets]</w:t>
      </w:r>
      <w:r w:rsidRPr="00015871">
        <w:rPr>
          <w:rFonts w:ascii="Times New Arabic" w:hAnsi="Times New Arabic"/>
          <w:sz w:val="24"/>
          <w:szCs w:val="24"/>
        </w:rPr>
        <w:t xml:space="preserve"> </w:t>
      </w:r>
    </w:p>
    <w:p w:rsidR="00CE2791" w:rsidRPr="00015871" w:rsidRDefault="00015871">
      <w:pPr>
        <w:spacing w:after="0" w:line="276" w:lineRule="auto"/>
        <w:ind w:left="14" w:firstLine="0"/>
        <w:rPr>
          <w:rFonts w:ascii="Times New Arabic" w:hAnsi="Times New Arabic"/>
          <w:sz w:val="24"/>
          <w:szCs w:val="24"/>
        </w:rPr>
      </w:pPr>
      <w:r>
        <w:rPr>
          <w:rFonts w:ascii="Times New Arabic" w:hAnsi="Times New Arabic"/>
          <w:sz w:val="24"/>
          <w:szCs w:val="24"/>
        </w:rPr>
        <w:t>Y</w:t>
      </w:r>
      <w:r w:rsidR="007C6311" w:rsidRPr="00015871">
        <w:rPr>
          <w:rFonts w:ascii="Times New Arabic" w:hAnsi="Times New Arabic"/>
          <w:sz w:val="24"/>
          <w:szCs w:val="24"/>
        </w:rPr>
        <w:t>our text is here, in 12pt font-size, 1.15 line-spacing; don’t add space before and/or after paragraph. It is much better to not format your text in a specific technique, instead, just leave it plain except that you really need to type certain words in a “special method”, or to emphasize certain word or words. Italic is a must in typing non-English word. Arabic word is transliterated based on Teosofia style, which is available for download in PDF file format [url: ].</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 xml:space="preserve">Please explore in more words the background of your paper and your current research position among other research on related themes. You should discuss here as well your </w:t>
      </w:r>
      <w:r w:rsidRPr="00015871">
        <w:rPr>
          <w:rFonts w:ascii="Times New Arabic" w:hAnsi="Times New Arabic"/>
          <w:sz w:val="24"/>
          <w:szCs w:val="24"/>
        </w:rPr>
        <w:lastRenderedPageBreak/>
        <w:t>research’s relations with those of other researchers; literature review, especially on most relevant, newly academic works published in high reputation journals, is a must.</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To put it another way, please try to answer at least two questions: (1) why you believe that your research question is such an important to answer; and (2) how other scholars have or have not answered, or how you think your answer would be a contribution to the existing scholarship on the subject.</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 xml:space="preserve">A detailed description of your methods in doing the research is not necessary to write down in this section, but if you think you have to do so, you may mention it slightly in one or two sentences. </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 xml:space="preserve">A little bit of exploration on the flows of your discussion and the expected final results will be good points for closing this introduction section. </w:t>
      </w:r>
    </w:p>
    <w:p w:rsidR="00CE2791" w:rsidRPr="00015871" w:rsidRDefault="00CE2791">
      <w:pPr>
        <w:spacing w:after="0" w:line="276" w:lineRule="auto"/>
        <w:rPr>
          <w:rFonts w:ascii="Times New Arabic" w:hAnsi="Times New Arabic"/>
          <w:b/>
          <w:bCs/>
          <w:sz w:val="24"/>
          <w:szCs w:val="24"/>
        </w:rPr>
      </w:pPr>
    </w:p>
    <w:p w:rsidR="00CE2791" w:rsidRPr="00015871" w:rsidRDefault="007C6311">
      <w:pPr>
        <w:spacing w:after="0" w:line="276" w:lineRule="auto"/>
        <w:rPr>
          <w:rFonts w:ascii="Times New Arabic" w:hAnsi="Times New Arabic"/>
          <w:b/>
          <w:bCs/>
          <w:sz w:val="24"/>
          <w:szCs w:val="24"/>
        </w:rPr>
      </w:pPr>
      <w:r w:rsidRPr="00015871">
        <w:rPr>
          <w:rFonts w:ascii="Times New Arabic" w:hAnsi="Times New Arabic"/>
          <w:b/>
          <w:bCs/>
          <w:sz w:val="24"/>
          <w:szCs w:val="24"/>
        </w:rPr>
        <w:t>B. The First Aspect of the Discussion, As the Second Section</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Here you may discuss every aspect of the issue one by one. It is necessary to build argument and to provide original data discussed and compared to research and works of other scholars. In other words, the way to discuss an issue here is by combining the data and the discussion. So, it is not recommended to separate merely data description from the analysis on it.</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Every quotation is written down in a specific way that can be identified as a “quotation” different from your original text. At the end of every quotation, you have to put its reference[s] in footnote style of Teosofia. A reference must also be put in the end of every citation that paraphrasing ideas from someone’s works. If citation is taken from a book, it must be like this,</w:t>
      </w:r>
      <w:r w:rsidRPr="00015871">
        <w:rPr>
          <w:rStyle w:val="FootnoteReference"/>
          <w:rFonts w:ascii="Times New Arabic" w:hAnsi="Times New Arabic"/>
          <w:sz w:val="24"/>
          <w:szCs w:val="24"/>
        </w:rPr>
        <w:footnoteReference w:id="1"/>
      </w:r>
      <w:r w:rsidRPr="00015871">
        <w:rPr>
          <w:rFonts w:ascii="Times New Arabic" w:hAnsi="Times New Arabic"/>
          <w:sz w:val="24"/>
          <w:szCs w:val="24"/>
        </w:rPr>
        <w:t>and the subsequent citation is like this.</w:t>
      </w:r>
      <w:r w:rsidRPr="00015871">
        <w:rPr>
          <w:rStyle w:val="FootnoteReference"/>
          <w:rFonts w:ascii="Times New Arabic" w:hAnsi="Times New Arabic"/>
          <w:sz w:val="24"/>
          <w:szCs w:val="24"/>
        </w:rPr>
        <w:footnoteReference w:id="2"/>
      </w:r>
      <w:r w:rsidRPr="00015871">
        <w:rPr>
          <w:rFonts w:ascii="Times New Arabic" w:hAnsi="Times New Arabic"/>
          <w:sz w:val="24"/>
          <w:szCs w:val="24"/>
        </w:rPr>
        <w:t>A book with volumes,</w:t>
      </w:r>
      <w:r w:rsidRPr="00015871">
        <w:rPr>
          <w:rStyle w:val="FootnoteReference"/>
          <w:rFonts w:ascii="Times New Arabic" w:hAnsi="Times New Arabic"/>
          <w:sz w:val="24"/>
          <w:szCs w:val="24"/>
        </w:rPr>
        <w:footnoteReference w:id="3"/>
      </w:r>
      <w:r w:rsidRPr="00015871">
        <w:rPr>
          <w:rFonts w:ascii="Times New Arabic" w:hAnsi="Times New Arabic"/>
          <w:sz w:val="24"/>
          <w:szCs w:val="24"/>
        </w:rPr>
        <w:t xml:space="preserve"> cited in a subsequent note;</w:t>
      </w:r>
      <w:r w:rsidRPr="00015871">
        <w:rPr>
          <w:rStyle w:val="FootnoteReference"/>
          <w:rFonts w:ascii="Times New Arabic" w:hAnsi="Times New Arabic"/>
          <w:sz w:val="24"/>
          <w:szCs w:val="24"/>
        </w:rPr>
        <w:footnoteReference w:id="4"/>
      </w:r>
      <w:r w:rsidRPr="00015871">
        <w:rPr>
          <w:rFonts w:ascii="Times New Arabic" w:hAnsi="Times New Arabic"/>
          <w:sz w:val="24"/>
          <w:szCs w:val="24"/>
        </w:rPr>
        <w:t xml:space="preserve"> please note that the footnote reference number is placed after [not before] any punctuation. Citations from any previous references, but not subsequently cited, is noted like this.</w:t>
      </w:r>
      <w:r w:rsidRPr="00015871">
        <w:rPr>
          <w:rStyle w:val="FootnoteReference"/>
          <w:rFonts w:ascii="Times New Arabic" w:hAnsi="Times New Arabic"/>
          <w:sz w:val="24"/>
          <w:szCs w:val="24"/>
        </w:rPr>
        <w:footnoteReference w:id="5"/>
      </w:r>
      <w:r w:rsidRPr="00015871">
        <w:rPr>
          <w:rFonts w:ascii="Times New Arabic" w:hAnsi="Times New Arabic"/>
          <w:sz w:val="24"/>
          <w:szCs w:val="24"/>
        </w:rPr>
        <w:t xml:space="preserve"> Just mention the last name of the author and the sorted version of the work’s title.</w:t>
      </w:r>
    </w:p>
    <w:p w:rsidR="00CE2791" w:rsidRPr="00015871" w:rsidRDefault="00CE2791">
      <w:pPr>
        <w:spacing w:after="0" w:line="276" w:lineRule="auto"/>
        <w:ind w:left="0" w:firstLine="0"/>
        <w:rPr>
          <w:rFonts w:ascii="Times New Arabic" w:hAnsi="Times New Arabic"/>
          <w:sz w:val="24"/>
          <w:szCs w:val="24"/>
        </w:rPr>
      </w:pPr>
    </w:p>
    <w:p w:rsidR="00CE2791" w:rsidRPr="00015871" w:rsidRDefault="007C6311">
      <w:pPr>
        <w:keepNext/>
        <w:spacing w:after="0" w:line="276" w:lineRule="auto"/>
        <w:rPr>
          <w:rFonts w:ascii="Times New Arabic" w:hAnsi="Times New Arabic"/>
          <w:b/>
          <w:bCs/>
          <w:sz w:val="24"/>
          <w:szCs w:val="24"/>
        </w:rPr>
      </w:pPr>
      <w:r w:rsidRPr="00015871">
        <w:rPr>
          <w:rFonts w:ascii="Times New Arabic" w:hAnsi="Times New Arabic"/>
          <w:b/>
          <w:bCs/>
          <w:sz w:val="24"/>
          <w:szCs w:val="24"/>
        </w:rPr>
        <w:t>C. The Second Aspect of the Discussion, the Style of Other References</w:t>
      </w:r>
    </w:p>
    <w:p w:rsidR="00CE2791" w:rsidRPr="00015871" w:rsidRDefault="007C6311">
      <w:pPr>
        <w:spacing w:after="0" w:line="276" w:lineRule="auto"/>
        <w:ind w:left="14" w:firstLine="720"/>
        <w:rPr>
          <w:rFonts w:ascii="Times New Arabic" w:hAnsi="Times New Arabic"/>
          <w:sz w:val="24"/>
          <w:szCs w:val="24"/>
        </w:rPr>
      </w:pPr>
      <w:r w:rsidRPr="00015871">
        <w:rPr>
          <w:rFonts w:ascii="Times New Arabic" w:hAnsi="Times New Arabic"/>
          <w:sz w:val="24"/>
          <w:szCs w:val="24"/>
        </w:rPr>
        <w:t>Examples of references other than book are paper in a journal,</w:t>
      </w:r>
      <w:r w:rsidRPr="00015871">
        <w:rPr>
          <w:rStyle w:val="FootnoteReference"/>
          <w:rFonts w:ascii="Times New Arabic" w:hAnsi="Times New Arabic"/>
          <w:sz w:val="24"/>
          <w:szCs w:val="24"/>
        </w:rPr>
        <w:footnoteReference w:id="6"/>
      </w:r>
      <w:r w:rsidRPr="00015871">
        <w:rPr>
          <w:rFonts w:ascii="Times New Arabic" w:hAnsi="Times New Arabic"/>
          <w:sz w:val="24"/>
          <w:szCs w:val="24"/>
        </w:rPr>
        <w:t xml:space="preserve"> or this journal,</w:t>
      </w:r>
      <w:r w:rsidRPr="00015871">
        <w:rPr>
          <w:rStyle w:val="FootnoteReference"/>
          <w:rFonts w:ascii="Times New Arabic" w:hAnsi="Times New Arabic"/>
          <w:sz w:val="24"/>
          <w:szCs w:val="24"/>
        </w:rPr>
        <w:footnoteReference w:id="7"/>
      </w:r>
      <w:r w:rsidRPr="00015871">
        <w:rPr>
          <w:rFonts w:ascii="Times New Arabic" w:hAnsi="Times New Arabic"/>
          <w:sz w:val="24"/>
          <w:szCs w:val="24"/>
        </w:rPr>
        <w:t xml:space="preserve"> websites,</w:t>
      </w:r>
      <w:r w:rsidRPr="00015871">
        <w:rPr>
          <w:rStyle w:val="FootnoteReference"/>
          <w:rFonts w:ascii="Times New Arabic" w:hAnsi="Times New Arabic"/>
          <w:sz w:val="24"/>
          <w:szCs w:val="24"/>
        </w:rPr>
        <w:footnoteReference w:id="8"/>
      </w:r>
      <w:r w:rsidRPr="00015871">
        <w:rPr>
          <w:rFonts w:ascii="Times New Arabic" w:hAnsi="Times New Arabic"/>
          <w:sz w:val="24"/>
          <w:szCs w:val="24"/>
        </w:rPr>
        <w:t xml:space="preserve"> magazines and newspapers,</w:t>
      </w:r>
      <w:r w:rsidRPr="00015871">
        <w:rPr>
          <w:rStyle w:val="FootnoteReference"/>
          <w:rFonts w:ascii="Times New Arabic" w:hAnsi="Times New Arabic"/>
          <w:sz w:val="24"/>
          <w:szCs w:val="24"/>
        </w:rPr>
        <w:footnoteReference w:id="9"/>
      </w:r>
      <w:r w:rsidRPr="00015871">
        <w:rPr>
          <w:rFonts w:ascii="Times New Arabic" w:hAnsi="Times New Arabic"/>
          <w:sz w:val="24"/>
          <w:szCs w:val="24"/>
        </w:rPr>
        <w:t xml:space="preserve">  reports,</w:t>
      </w:r>
      <w:r w:rsidRPr="00015871">
        <w:rPr>
          <w:rStyle w:val="FootnoteReference"/>
          <w:rFonts w:ascii="Times New Arabic" w:hAnsi="Times New Arabic"/>
          <w:sz w:val="24"/>
          <w:szCs w:val="24"/>
        </w:rPr>
        <w:footnoteReference w:id="10"/>
      </w:r>
      <w:r w:rsidRPr="00015871">
        <w:rPr>
          <w:rFonts w:ascii="Times New Arabic" w:hAnsi="Times New Arabic"/>
          <w:sz w:val="24"/>
          <w:szCs w:val="24"/>
        </w:rPr>
        <w:t xml:space="preserve"> book chapters,</w:t>
      </w:r>
      <w:r w:rsidRPr="00015871">
        <w:rPr>
          <w:rStyle w:val="FootnoteReference"/>
          <w:rFonts w:ascii="Times New Arabic" w:hAnsi="Times New Arabic"/>
          <w:sz w:val="24"/>
          <w:szCs w:val="24"/>
        </w:rPr>
        <w:footnoteReference w:id="11"/>
      </w:r>
      <w:r w:rsidRPr="00015871">
        <w:rPr>
          <w:rFonts w:ascii="Times New Arabic" w:hAnsi="Times New Arabic"/>
          <w:sz w:val="24"/>
          <w:szCs w:val="24"/>
        </w:rPr>
        <w:t xml:space="preserve"> a master thesis,</w:t>
      </w:r>
      <w:r w:rsidRPr="00015871">
        <w:rPr>
          <w:rStyle w:val="FootnoteReference"/>
          <w:rFonts w:ascii="Times New Arabic" w:hAnsi="Times New Arabic"/>
          <w:sz w:val="24"/>
          <w:szCs w:val="24"/>
        </w:rPr>
        <w:footnoteReference w:id="12"/>
      </w:r>
      <w:r w:rsidRPr="00015871">
        <w:rPr>
          <w:rFonts w:ascii="Times New Arabic" w:hAnsi="Times New Arabic"/>
          <w:sz w:val="24"/>
          <w:szCs w:val="24"/>
        </w:rPr>
        <w:t xml:space="preserve"> and a </w:t>
      </w:r>
      <w:r w:rsidRPr="00015871">
        <w:rPr>
          <w:rFonts w:ascii="Times New Arabic" w:hAnsi="Times New Arabic"/>
          <w:sz w:val="24"/>
          <w:szCs w:val="24"/>
        </w:rPr>
        <w:lastRenderedPageBreak/>
        <w:t>PhD thesis.</w:t>
      </w:r>
      <w:r w:rsidRPr="00015871">
        <w:rPr>
          <w:rStyle w:val="FootnoteReference"/>
          <w:rFonts w:ascii="Times New Arabic" w:hAnsi="Times New Arabic"/>
          <w:sz w:val="24"/>
          <w:szCs w:val="24"/>
        </w:rPr>
        <w:footnoteReference w:id="13"/>
      </w:r>
      <w:r w:rsidRPr="00015871">
        <w:rPr>
          <w:rFonts w:ascii="Times New Arabic" w:hAnsi="Times New Arabic"/>
          <w:sz w:val="24"/>
          <w:szCs w:val="24"/>
        </w:rPr>
        <w:t xml:space="preserve"> Please provide a complete internet url whenever available along with the date access (see footnote 8).</w:t>
      </w:r>
    </w:p>
    <w:p w:rsidR="00CE2791" w:rsidRPr="00015871" w:rsidRDefault="00CE2791">
      <w:pPr>
        <w:spacing w:after="0" w:line="276" w:lineRule="auto"/>
        <w:rPr>
          <w:rFonts w:ascii="Times New Arabic" w:hAnsi="Times New Arabic"/>
          <w:b/>
          <w:bCs/>
          <w:sz w:val="24"/>
          <w:szCs w:val="24"/>
        </w:rPr>
      </w:pPr>
    </w:p>
    <w:p w:rsidR="00CE2791" w:rsidRPr="00015871" w:rsidRDefault="007C6311">
      <w:pPr>
        <w:spacing w:after="0" w:line="276" w:lineRule="auto"/>
        <w:rPr>
          <w:rFonts w:ascii="Times New Arabic" w:hAnsi="Times New Arabic"/>
          <w:b/>
          <w:bCs/>
          <w:sz w:val="24"/>
          <w:szCs w:val="24"/>
        </w:rPr>
      </w:pPr>
      <w:r w:rsidRPr="00015871">
        <w:rPr>
          <w:rFonts w:ascii="Times New Arabic" w:hAnsi="Times New Arabic"/>
          <w:b/>
          <w:bCs/>
          <w:sz w:val="24"/>
          <w:szCs w:val="24"/>
        </w:rPr>
        <w:t>D. The Third Aspect of the Discussion, and so on</w:t>
      </w:r>
    </w:p>
    <w:p w:rsidR="00CE2791" w:rsidRPr="00015871" w:rsidRDefault="007C6311">
      <w:pPr>
        <w:spacing w:after="0" w:line="276" w:lineRule="auto"/>
        <w:ind w:firstLine="720"/>
        <w:rPr>
          <w:rFonts w:ascii="Times New Arabic" w:hAnsi="Times New Arabic"/>
          <w:sz w:val="24"/>
          <w:szCs w:val="24"/>
        </w:rPr>
      </w:pPr>
      <w:r w:rsidRPr="00015871">
        <w:rPr>
          <w:rFonts w:ascii="Times New Arabic" w:hAnsi="Times New Arabic"/>
          <w:sz w:val="24"/>
          <w:szCs w:val="24"/>
        </w:rPr>
        <w:t>It is possible to add sections as needed. A section may consist of several sub-sections, typed in bold-italic and numbered list style, like the following example.</w:t>
      </w:r>
    </w:p>
    <w:p w:rsidR="00CE2791" w:rsidRPr="00015871" w:rsidRDefault="007C6311">
      <w:pPr>
        <w:spacing w:after="0" w:line="276" w:lineRule="auto"/>
        <w:rPr>
          <w:rFonts w:ascii="Times New Arabic" w:hAnsi="Times New Arabic"/>
          <w:b/>
          <w:bCs/>
          <w:sz w:val="24"/>
          <w:szCs w:val="24"/>
        </w:rPr>
      </w:pPr>
      <w:r w:rsidRPr="00015871">
        <w:rPr>
          <w:rFonts w:ascii="Times New Arabic" w:hAnsi="Times New Arabic"/>
          <w:b/>
          <w:bCs/>
          <w:i/>
          <w:iCs/>
          <w:sz w:val="24"/>
          <w:szCs w:val="24"/>
        </w:rPr>
        <w:t>1. Sub-Section as Part of its Parent Section</w:t>
      </w:r>
    </w:p>
    <w:p w:rsidR="00CE2791" w:rsidRPr="00015871" w:rsidRDefault="007C6311">
      <w:pPr>
        <w:spacing w:after="0" w:line="276" w:lineRule="auto"/>
        <w:ind w:firstLine="720"/>
        <w:rPr>
          <w:rFonts w:ascii="Times New Arabic" w:hAnsi="Times New Arabic"/>
          <w:sz w:val="24"/>
          <w:szCs w:val="24"/>
        </w:rPr>
      </w:pPr>
      <w:r w:rsidRPr="00015871">
        <w:rPr>
          <w:rFonts w:ascii="Times New Arabic" w:hAnsi="Times New Arabic"/>
          <w:sz w:val="24"/>
          <w:szCs w:val="24"/>
        </w:rPr>
        <w:t>You do not need to add any special indentation in typing body text under sub-section heading. The body text here is typed just like any other body text.</w:t>
      </w:r>
    </w:p>
    <w:p w:rsidR="00CE2791" w:rsidRPr="00015871" w:rsidRDefault="00CE2791">
      <w:pPr>
        <w:spacing w:after="0" w:line="276" w:lineRule="auto"/>
        <w:rPr>
          <w:rFonts w:ascii="Times New Arabic" w:hAnsi="Times New Arabic"/>
          <w:sz w:val="24"/>
          <w:szCs w:val="24"/>
        </w:rPr>
      </w:pPr>
    </w:p>
    <w:p w:rsidR="00CE2791" w:rsidRPr="00015871" w:rsidRDefault="007C6311">
      <w:pPr>
        <w:spacing w:after="0" w:line="276" w:lineRule="auto"/>
        <w:rPr>
          <w:rFonts w:ascii="Times New Arabic" w:hAnsi="Times New Arabic"/>
          <w:b/>
          <w:bCs/>
          <w:i/>
          <w:iCs/>
          <w:sz w:val="24"/>
          <w:szCs w:val="24"/>
        </w:rPr>
      </w:pPr>
      <w:r w:rsidRPr="00015871">
        <w:rPr>
          <w:rFonts w:ascii="Times New Arabic" w:hAnsi="Times New Arabic"/>
          <w:b/>
          <w:bCs/>
          <w:i/>
          <w:iCs/>
          <w:sz w:val="24"/>
          <w:szCs w:val="24"/>
        </w:rPr>
        <w:t>2. Another Sub-Section</w:t>
      </w:r>
    </w:p>
    <w:p w:rsidR="00CE2791" w:rsidRPr="00015871" w:rsidRDefault="007C6311">
      <w:pPr>
        <w:spacing w:after="0" w:line="276" w:lineRule="auto"/>
        <w:ind w:firstLine="720"/>
        <w:rPr>
          <w:rFonts w:ascii="Times New Arabic" w:hAnsi="Times New Arabic"/>
          <w:sz w:val="24"/>
          <w:szCs w:val="24"/>
        </w:rPr>
      </w:pPr>
      <w:r w:rsidRPr="00015871">
        <w:rPr>
          <w:rFonts w:ascii="Times New Arabic" w:hAnsi="Times New Arabic"/>
          <w:sz w:val="24"/>
          <w:szCs w:val="24"/>
        </w:rPr>
        <w:t xml:space="preserve">Although you may need another sub-heading under this “sub-section”, it is strongly not recommended to do so. Instead, please arrange your discussion and explanation in narrative paragraphs. In addition, listing style of text paragraph is also not suggested. </w:t>
      </w:r>
    </w:p>
    <w:p w:rsidR="00CE2791" w:rsidRPr="00015871" w:rsidRDefault="007C6311">
      <w:pPr>
        <w:spacing w:after="0" w:line="276" w:lineRule="auto"/>
        <w:rPr>
          <w:rFonts w:ascii="Times New Arabic" w:hAnsi="Times New Arabic"/>
          <w:b/>
          <w:bCs/>
          <w:i/>
          <w:iCs/>
          <w:sz w:val="24"/>
          <w:szCs w:val="24"/>
        </w:rPr>
      </w:pPr>
      <w:r w:rsidRPr="00015871">
        <w:rPr>
          <w:rFonts w:ascii="Times New Arabic" w:hAnsi="Times New Arabic"/>
          <w:b/>
          <w:bCs/>
          <w:i/>
          <w:iCs/>
          <w:sz w:val="24"/>
          <w:szCs w:val="24"/>
        </w:rPr>
        <w:t>3. Figure and Other Illustrations</w:t>
      </w:r>
    </w:p>
    <w:p w:rsidR="00CE2791" w:rsidRPr="00015871" w:rsidRDefault="007C6311">
      <w:pPr>
        <w:spacing w:after="0" w:line="276" w:lineRule="auto"/>
        <w:ind w:firstLine="720"/>
        <w:rPr>
          <w:rFonts w:ascii="Times New Arabic" w:hAnsi="Times New Arabic"/>
          <w:sz w:val="24"/>
          <w:szCs w:val="24"/>
        </w:rPr>
      </w:pPr>
      <w:r w:rsidRPr="00015871">
        <w:rPr>
          <w:rFonts w:ascii="Times New Arabic" w:hAnsi="Times New Arabic"/>
          <w:sz w:val="24"/>
          <w:szCs w:val="24"/>
        </w:rPr>
        <w:t>If you need to include any table, figure, image, or other illustration, please provide a high resolution picture file as an attachment for your submission file. We will be very happy, however, if you can convert such illustration into narratives and do not include any picture in your paper.</w:t>
      </w:r>
    </w:p>
    <w:p w:rsidR="00CE2791" w:rsidRPr="00015871" w:rsidRDefault="00CE2791">
      <w:pPr>
        <w:spacing w:after="0" w:line="276" w:lineRule="auto"/>
        <w:rPr>
          <w:rFonts w:ascii="Times New Arabic" w:hAnsi="Times New Arabic"/>
          <w:b/>
          <w:bCs/>
          <w:sz w:val="24"/>
          <w:szCs w:val="24"/>
        </w:rPr>
      </w:pPr>
    </w:p>
    <w:p w:rsidR="00CE2791" w:rsidRPr="00015871" w:rsidRDefault="007C6311">
      <w:pPr>
        <w:spacing w:after="0" w:line="276" w:lineRule="auto"/>
        <w:rPr>
          <w:rFonts w:ascii="Times New Arabic" w:hAnsi="Times New Arabic"/>
          <w:b/>
          <w:bCs/>
          <w:sz w:val="24"/>
          <w:szCs w:val="24"/>
        </w:rPr>
      </w:pPr>
      <w:r w:rsidRPr="00015871">
        <w:rPr>
          <w:rFonts w:ascii="Times New Arabic" w:hAnsi="Times New Arabic"/>
          <w:b/>
          <w:bCs/>
          <w:sz w:val="24"/>
          <w:szCs w:val="24"/>
        </w:rPr>
        <w:t>E. Conclusion</w:t>
      </w:r>
    </w:p>
    <w:p w:rsidR="00CE2791" w:rsidRPr="00015871" w:rsidRDefault="007C6311">
      <w:pPr>
        <w:spacing w:after="0" w:line="276" w:lineRule="auto"/>
        <w:ind w:left="0" w:firstLine="720"/>
        <w:rPr>
          <w:rFonts w:ascii="Times New Arabic" w:hAnsi="Times New Arabic"/>
          <w:sz w:val="24"/>
          <w:szCs w:val="24"/>
        </w:rPr>
      </w:pPr>
      <w:r w:rsidRPr="00015871">
        <w:rPr>
          <w:rFonts w:ascii="Times New Arabic" w:hAnsi="Times New Arabic"/>
          <w:sz w:val="24"/>
          <w:szCs w:val="24"/>
        </w:rPr>
        <w:t>Please provide here your remarks as closing statement. It could be a final conclusion from your discussion and analysis and your recommendations for further research project. In this section as well you may give your acknowledgment for people and parties whose supports make your research possible.</w:t>
      </w:r>
    </w:p>
    <w:p w:rsidR="00CE2791" w:rsidRPr="00015871" w:rsidRDefault="00CE2791">
      <w:pPr>
        <w:spacing w:after="0" w:line="276" w:lineRule="auto"/>
        <w:rPr>
          <w:rFonts w:ascii="Times New Arabic" w:hAnsi="Times New Arabic"/>
          <w:b/>
          <w:bCs/>
          <w:sz w:val="24"/>
          <w:szCs w:val="24"/>
        </w:rPr>
      </w:pPr>
    </w:p>
    <w:p w:rsidR="00CE2791" w:rsidRPr="00015871" w:rsidRDefault="007C6311">
      <w:pPr>
        <w:spacing w:after="160" w:line="259" w:lineRule="auto"/>
        <w:ind w:left="0" w:right="0" w:firstLine="0"/>
        <w:jc w:val="left"/>
        <w:rPr>
          <w:rFonts w:ascii="Times New Arabic" w:hAnsi="Times New Arabic"/>
          <w:b/>
          <w:bCs/>
          <w:sz w:val="24"/>
          <w:szCs w:val="24"/>
        </w:rPr>
      </w:pPr>
      <w:r w:rsidRPr="00015871">
        <w:rPr>
          <w:rFonts w:ascii="Times New Arabic" w:hAnsi="Times New Arabic"/>
          <w:b/>
          <w:bCs/>
          <w:sz w:val="24"/>
          <w:szCs w:val="24"/>
        </w:rPr>
        <w:br w:type="page"/>
      </w:r>
    </w:p>
    <w:p w:rsidR="00CE2791" w:rsidRPr="00015871" w:rsidRDefault="007C6311">
      <w:pPr>
        <w:spacing w:after="0"/>
        <w:jc w:val="center"/>
        <w:rPr>
          <w:rFonts w:ascii="Times New Arabic" w:hAnsi="Times New Arabic"/>
          <w:sz w:val="24"/>
          <w:szCs w:val="24"/>
        </w:rPr>
      </w:pPr>
      <w:r w:rsidRPr="00015871">
        <w:rPr>
          <w:rFonts w:ascii="Times New Arabic" w:hAnsi="Times New Arabic"/>
          <w:b/>
          <w:bCs/>
          <w:sz w:val="24"/>
          <w:szCs w:val="24"/>
        </w:rPr>
        <w:lastRenderedPageBreak/>
        <w:t xml:space="preserve">Bibliography </w:t>
      </w:r>
      <w:r w:rsidRPr="00015871">
        <w:rPr>
          <w:rFonts w:ascii="Times New Arabic" w:hAnsi="Times New Arabic"/>
          <w:sz w:val="24"/>
          <w:szCs w:val="24"/>
        </w:rPr>
        <w:t>[type first letter in capital]</w:t>
      </w:r>
    </w:p>
    <w:p w:rsidR="00CE2791" w:rsidRPr="00015871" w:rsidRDefault="00CE2791">
      <w:pPr>
        <w:spacing w:after="0" w:line="276" w:lineRule="auto"/>
        <w:jc w:val="center"/>
        <w:rPr>
          <w:rFonts w:ascii="Times New Arabic" w:hAnsi="Times New Arabic"/>
          <w:b/>
          <w:bCs/>
          <w:sz w:val="24"/>
          <w:szCs w:val="24"/>
        </w:rPr>
      </w:pP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fldChar w:fldCharType="begin"/>
      </w:r>
      <w:r w:rsidRPr="00015871">
        <w:rPr>
          <w:rFonts w:ascii="Times New Arabic" w:hAnsi="Times New Arabic"/>
          <w:sz w:val="24"/>
          <w:szCs w:val="24"/>
        </w:rPr>
        <w:instrText xml:space="preserve"> ADDIN ZOTERO_BIBL {"custom":[]} CSL_BIBLIOGRAPHY </w:instrText>
      </w:r>
      <w:r w:rsidRPr="00015871">
        <w:rPr>
          <w:rFonts w:ascii="Times New Arabic" w:hAnsi="Times New Arabic"/>
          <w:sz w:val="24"/>
          <w:szCs w:val="24"/>
        </w:rPr>
        <w:fldChar w:fldCharType="separate"/>
      </w:r>
      <w:r w:rsidRPr="00015871">
        <w:rPr>
          <w:rFonts w:ascii="Times New Arabic" w:hAnsi="Times New Arabic"/>
          <w:sz w:val="24"/>
          <w:szCs w:val="24"/>
        </w:rPr>
        <w:t xml:space="preserve">Edelman, Mark and Sandra Charvat Burke, </w:t>
      </w:r>
      <w:r w:rsidRPr="00015871">
        <w:rPr>
          <w:rFonts w:ascii="Times New Arabic" w:hAnsi="Times New Arabic"/>
          <w:i/>
          <w:iCs/>
          <w:sz w:val="24"/>
          <w:szCs w:val="24"/>
        </w:rPr>
        <w:t>Creating Philanthropy Initiatives to Enhance Community Vitality</w:t>
      </w:r>
      <w:r w:rsidRPr="00015871">
        <w:rPr>
          <w:rFonts w:ascii="Times New Arabic" w:hAnsi="Times New Arabic"/>
          <w:sz w:val="24"/>
          <w:szCs w:val="24"/>
        </w:rPr>
        <w:t xml:space="preserve">, Staff General Research Report, no. 12951, Iowa State University, Department of Economics, 2008, https://ideas.repec.org/cgi-bin/htsearch?q=philanthropy, accessed 23 Jun 2015. </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Fogg, Kevin William, “The Fate of Muslim Nationalism in Independent Indonesia”, PhD. Dissertation, Yale University, 2012, http://gradworks.umi.com/35/35/3535314.html, accessed 16 Feb 2016.</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Haylamaz, Re</w:t>
      </w:r>
      <w:r w:rsidRPr="00015871">
        <w:rPr>
          <w:sz w:val="24"/>
          <w:szCs w:val="24"/>
        </w:rPr>
        <w:t>ş</w:t>
      </w:r>
      <w:r w:rsidRPr="00015871">
        <w:rPr>
          <w:rFonts w:ascii="Times New Arabic" w:hAnsi="Times New Arabic"/>
          <w:sz w:val="24"/>
          <w:szCs w:val="24"/>
        </w:rPr>
        <w:t xml:space="preserve">it, </w:t>
      </w:r>
      <w:r w:rsidRPr="00015871">
        <w:rPr>
          <w:rFonts w:ascii="Times New Arabic" w:hAnsi="Times New Arabic"/>
          <w:i/>
          <w:iCs/>
          <w:sz w:val="24"/>
          <w:szCs w:val="24"/>
        </w:rPr>
        <w:t>Aisha: The Wife, The Companion, The Scholar</w:t>
      </w:r>
      <w:r w:rsidRPr="00015871">
        <w:rPr>
          <w:rFonts w:ascii="Times New Arabic" w:hAnsi="Times New Arabic"/>
          <w:sz w:val="24"/>
          <w:szCs w:val="24"/>
        </w:rPr>
        <w:t>, New Jersey: Tughra Books, 2014.</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Hosen, Nadirsyah, “Shari’a &amp; Constitutional Reform in Indonesia”, Master Thesis, Singapore: National University of Singapore, 2005.</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Iqbal, J., “Democracy and the Modern Islamic State”, in </w:t>
      </w:r>
      <w:r w:rsidRPr="00015871">
        <w:rPr>
          <w:rFonts w:ascii="Times New Arabic" w:hAnsi="Times New Arabic"/>
          <w:i/>
          <w:iCs/>
          <w:sz w:val="24"/>
          <w:szCs w:val="24"/>
        </w:rPr>
        <w:t>Voices of Resurgent Islam</w:t>
      </w:r>
      <w:r w:rsidRPr="00015871">
        <w:rPr>
          <w:rFonts w:ascii="Times New Arabic" w:hAnsi="Times New Arabic"/>
          <w:sz w:val="24"/>
          <w:szCs w:val="24"/>
        </w:rPr>
        <w:t>, ed. by John L. Esposito, Oxford University Press, 1983.</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Nur Ichwan, Moch, “Differing Responses to an Ahmadi Translation and Exegesis: The Holy Qur’ân in Egypt and Indonesia”, </w:t>
      </w:r>
      <w:r w:rsidRPr="00015871">
        <w:rPr>
          <w:rFonts w:ascii="Times New Arabic" w:hAnsi="Times New Arabic"/>
          <w:i/>
          <w:iCs/>
          <w:sz w:val="24"/>
          <w:szCs w:val="24"/>
        </w:rPr>
        <w:t>Archipel</w:t>
      </w:r>
      <w:r w:rsidRPr="00015871">
        <w:rPr>
          <w:rFonts w:ascii="Times New Arabic" w:hAnsi="Times New Arabic"/>
          <w:sz w:val="24"/>
          <w:szCs w:val="24"/>
        </w:rPr>
        <w:t>, vol. 62, no. 1, 2001, pp. 143–61 [http://dx.doi.org/10.3406/arch.2001.3668].</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Pramudya, Wildan, “Antropologi Zakat: System of Giving dalam Islam”, </w:t>
      </w:r>
      <w:r w:rsidRPr="00015871">
        <w:rPr>
          <w:rFonts w:ascii="Times New Arabic" w:hAnsi="Times New Arabic"/>
          <w:i/>
          <w:iCs/>
          <w:sz w:val="24"/>
          <w:szCs w:val="24"/>
        </w:rPr>
        <w:t>Wildan Pramudya</w:t>
      </w:r>
      <w:r w:rsidRPr="00015871">
        <w:rPr>
          <w:rFonts w:ascii="Times New Arabic" w:hAnsi="Times New Arabic"/>
          <w:sz w:val="24"/>
          <w:szCs w:val="24"/>
        </w:rPr>
        <w:t>, 30 Aug 2010, https://pramudyarifin.wordpress.com/2010/08/30/antropologi-zakat-system-of-giving-dalam-islam/, accessed 26 May 2014.</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Sone, Nyein Pyae, “At Rangoon Mosque, Buddhist Monks Accept Alms and Discuss Tolerance”, </w:t>
      </w:r>
      <w:r w:rsidRPr="00015871">
        <w:rPr>
          <w:rFonts w:ascii="Times New Arabic" w:hAnsi="Times New Arabic"/>
          <w:i/>
          <w:iCs/>
          <w:sz w:val="24"/>
          <w:szCs w:val="24"/>
        </w:rPr>
        <w:t>The Irrawaddy</w:t>
      </w:r>
      <w:r w:rsidRPr="00015871">
        <w:rPr>
          <w:rFonts w:ascii="Times New Arabic" w:hAnsi="Times New Arabic"/>
          <w:sz w:val="24"/>
          <w:szCs w:val="24"/>
        </w:rPr>
        <w:t>, 4 Jul 2013, http://www.irrawaddy.com/conflict/at-rangoon-mosque-buddhist-monks-accept-alms-and-discuss-tolerance.html, accessed 4 Jul 2013.</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Ulibarri, Carlos, “Rational Philanthropy and Cultural Capital”, </w:t>
      </w:r>
      <w:r w:rsidRPr="00015871">
        <w:rPr>
          <w:rFonts w:ascii="Times New Arabic" w:hAnsi="Times New Arabic"/>
          <w:i/>
          <w:iCs/>
          <w:sz w:val="24"/>
          <w:szCs w:val="24"/>
        </w:rPr>
        <w:t>Journal of Cultural Economics</w:t>
      </w:r>
      <w:r w:rsidRPr="00015871">
        <w:rPr>
          <w:rFonts w:ascii="Times New Arabic" w:hAnsi="Times New Arabic"/>
          <w:sz w:val="24"/>
          <w:szCs w:val="24"/>
        </w:rPr>
        <w:t>, vol. 24, no. 2, 2000, pp. 135–46 [http://dx.doi.org/10.1023/A:1007639601013].</w:t>
      </w:r>
    </w:p>
    <w:p w:rsidR="00CE2791" w:rsidRPr="00015871" w:rsidRDefault="007C6311">
      <w:pPr>
        <w:pStyle w:val="Bibliography"/>
        <w:spacing w:line="276" w:lineRule="auto"/>
        <w:ind w:left="851" w:hanging="851"/>
        <w:rPr>
          <w:rFonts w:ascii="Times New Arabic" w:hAnsi="Times New Arabic"/>
          <w:sz w:val="24"/>
          <w:szCs w:val="24"/>
        </w:rPr>
      </w:pPr>
      <w:r w:rsidRPr="00015871">
        <w:rPr>
          <w:rFonts w:ascii="Times New Arabic" w:hAnsi="Times New Arabic"/>
          <w:sz w:val="24"/>
          <w:szCs w:val="24"/>
        </w:rPr>
        <w:t xml:space="preserve">Az-Zuhaili, Wahbah, </w:t>
      </w:r>
      <w:r w:rsidRPr="00015871">
        <w:rPr>
          <w:rFonts w:ascii="Times New Arabic" w:hAnsi="Times New Arabic"/>
          <w:i/>
          <w:iCs/>
          <w:sz w:val="24"/>
          <w:szCs w:val="24"/>
        </w:rPr>
        <w:t>al-Fiqh al-Isl</w:t>
      </w:r>
      <w:r w:rsidRPr="00015871">
        <w:rPr>
          <w:i/>
          <w:iCs/>
          <w:sz w:val="24"/>
          <w:szCs w:val="24"/>
        </w:rPr>
        <w:t>ā</w:t>
      </w:r>
      <w:r w:rsidRPr="00015871">
        <w:rPr>
          <w:rFonts w:ascii="Times New Arabic" w:hAnsi="Times New Arabic"/>
          <w:i/>
          <w:iCs/>
          <w:sz w:val="24"/>
          <w:szCs w:val="24"/>
        </w:rPr>
        <w:t>m</w:t>
      </w:r>
      <w:r w:rsidRPr="00015871">
        <w:rPr>
          <w:i/>
          <w:iCs/>
          <w:sz w:val="24"/>
          <w:szCs w:val="24"/>
        </w:rPr>
        <w:t>ī</w:t>
      </w:r>
      <w:r w:rsidRPr="00015871">
        <w:rPr>
          <w:rFonts w:ascii="Times New Arabic" w:hAnsi="Times New Arabic"/>
          <w:i/>
          <w:iCs/>
          <w:sz w:val="24"/>
          <w:szCs w:val="24"/>
        </w:rPr>
        <w:t xml:space="preserve"> wa Adillatuhu</w:t>
      </w:r>
      <w:r w:rsidRPr="00015871">
        <w:rPr>
          <w:rFonts w:ascii="Times New Arabic" w:hAnsi="Times New Arabic"/>
          <w:sz w:val="24"/>
          <w:szCs w:val="24"/>
        </w:rPr>
        <w:t>, vol. II, 2nd edition, Beirut: D</w:t>
      </w:r>
      <w:r w:rsidRPr="00015871">
        <w:rPr>
          <w:sz w:val="24"/>
          <w:szCs w:val="24"/>
        </w:rPr>
        <w:t>ā</w:t>
      </w:r>
      <w:r w:rsidRPr="00015871">
        <w:rPr>
          <w:rFonts w:ascii="Times New Arabic" w:hAnsi="Times New Arabic"/>
          <w:sz w:val="24"/>
          <w:szCs w:val="24"/>
        </w:rPr>
        <w:t>r al-Fikr, 1985.</w:t>
      </w:r>
    </w:p>
    <w:p w:rsidR="00CE2791" w:rsidRPr="00015871" w:rsidRDefault="007C6311">
      <w:pPr>
        <w:spacing w:after="0" w:line="276" w:lineRule="auto"/>
        <w:rPr>
          <w:rFonts w:ascii="Times New Arabic" w:hAnsi="Times New Arabic"/>
          <w:sz w:val="24"/>
          <w:szCs w:val="24"/>
        </w:rPr>
      </w:pPr>
      <w:r w:rsidRPr="00015871">
        <w:rPr>
          <w:rFonts w:ascii="Times New Arabic" w:hAnsi="Times New Arabic"/>
          <w:sz w:val="24"/>
          <w:szCs w:val="24"/>
        </w:rPr>
        <w:fldChar w:fldCharType="end"/>
      </w:r>
    </w:p>
    <w:p w:rsidR="00CE2791" w:rsidRPr="00015871" w:rsidRDefault="007C6311">
      <w:pPr>
        <w:spacing w:after="0" w:line="276" w:lineRule="auto"/>
        <w:rPr>
          <w:rFonts w:ascii="Times New Arabic" w:hAnsi="Times New Arabic"/>
          <w:b/>
          <w:bCs/>
          <w:sz w:val="24"/>
          <w:szCs w:val="24"/>
        </w:rPr>
      </w:pPr>
      <w:r w:rsidRPr="00015871">
        <w:rPr>
          <w:rFonts w:ascii="Times New Arabic" w:hAnsi="Times New Arabic"/>
          <w:b/>
          <w:bCs/>
          <w:sz w:val="24"/>
          <w:szCs w:val="24"/>
        </w:rPr>
        <w:t>Note:</w:t>
      </w:r>
    </w:p>
    <w:p w:rsidR="00CE2791" w:rsidRPr="00015871" w:rsidRDefault="007C6311">
      <w:pPr>
        <w:pStyle w:val="ListParagraph"/>
        <w:numPr>
          <w:ilvl w:val="0"/>
          <w:numId w:val="11"/>
        </w:numPr>
        <w:spacing w:after="0" w:line="276" w:lineRule="auto"/>
        <w:ind w:right="0"/>
        <w:rPr>
          <w:rFonts w:ascii="Times New Arabic" w:hAnsi="Times New Arabic"/>
          <w:sz w:val="24"/>
          <w:szCs w:val="24"/>
        </w:rPr>
      </w:pPr>
      <w:r w:rsidRPr="00015871">
        <w:rPr>
          <w:rFonts w:ascii="Times New Arabic" w:hAnsi="Times New Arabic"/>
          <w:sz w:val="24"/>
          <w:szCs w:val="24"/>
        </w:rPr>
        <w:t>DOI must be provided in “bibliography” whenever a reference has “doi” identifier;</w:t>
      </w:r>
    </w:p>
    <w:p w:rsidR="00CE2791" w:rsidRPr="00015871" w:rsidRDefault="007C6311">
      <w:pPr>
        <w:pStyle w:val="ListParagraph"/>
        <w:numPr>
          <w:ilvl w:val="0"/>
          <w:numId w:val="11"/>
        </w:numPr>
        <w:spacing w:after="0" w:line="276" w:lineRule="auto"/>
        <w:ind w:right="0"/>
        <w:rPr>
          <w:rFonts w:ascii="Times New Arabic" w:hAnsi="Times New Arabic"/>
          <w:sz w:val="24"/>
          <w:szCs w:val="24"/>
        </w:rPr>
      </w:pPr>
      <w:r w:rsidRPr="00015871">
        <w:rPr>
          <w:rFonts w:ascii="Times New Arabic" w:hAnsi="Times New Arabic"/>
          <w:sz w:val="24"/>
          <w:szCs w:val="24"/>
        </w:rPr>
        <w:t xml:space="preserve">The list of bibliography must be sorted in alphabetical order, however in regard Arabic names with article “al”, the article is not in consideration. </w:t>
      </w:r>
    </w:p>
    <w:p w:rsidR="00CE2791" w:rsidRPr="00015871" w:rsidRDefault="007C6311">
      <w:pPr>
        <w:pStyle w:val="ListParagraph"/>
        <w:numPr>
          <w:ilvl w:val="0"/>
          <w:numId w:val="11"/>
        </w:numPr>
        <w:spacing w:after="0" w:line="276" w:lineRule="auto"/>
        <w:ind w:right="0"/>
        <w:rPr>
          <w:rFonts w:ascii="Times New Arabic" w:hAnsi="Times New Arabic"/>
          <w:sz w:val="24"/>
          <w:szCs w:val="24"/>
        </w:rPr>
      </w:pPr>
      <w:r w:rsidRPr="00015871">
        <w:rPr>
          <w:rFonts w:ascii="Times New Arabic" w:hAnsi="Times New Arabic"/>
          <w:sz w:val="24"/>
          <w:szCs w:val="24"/>
        </w:rPr>
        <w:t>It is highly recommended to use any reference manager software, such as ZOTERO or Mendeley to manage your citation; and the citation style of Teosofia [to use with ZOTERO or Mendeley] is available at Teosofia Website.</w:t>
      </w:r>
    </w:p>
    <w:p w:rsidR="00CE2791" w:rsidRPr="00015871" w:rsidRDefault="007C6311">
      <w:pPr>
        <w:pStyle w:val="ListParagraph"/>
        <w:numPr>
          <w:ilvl w:val="0"/>
          <w:numId w:val="11"/>
        </w:numPr>
        <w:spacing w:after="0" w:line="276" w:lineRule="auto"/>
        <w:ind w:right="0"/>
        <w:rPr>
          <w:rFonts w:ascii="Times New Arabic" w:hAnsi="Times New Arabic"/>
          <w:sz w:val="24"/>
          <w:szCs w:val="24"/>
        </w:rPr>
      </w:pPr>
      <w:r w:rsidRPr="00015871">
        <w:rPr>
          <w:rFonts w:ascii="Times New Arabic" w:hAnsi="Times New Arabic"/>
          <w:sz w:val="24"/>
          <w:szCs w:val="24"/>
        </w:rPr>
        <w:t xml:space="preserve">Arabic word should be transliterated according to Teosofia style of Arabic transliteration, please insert every symbol of transliterated Arabic letter as a proper Unicode character symbol; </w:t>
      </w:r>
    </w:p>
    <w:p w:rsidR="00CE2791" w:rsidRPr="00015871" w:rsidRDefault="007C6311" w:rsidP="00015871">
      <w:pPr>
        <w:pStyle w:val="ListParagraph"/>
        <w:numPr>
          <w:ilvl w:val="0"/>
          <w:numId w:val="11"/>
        </w:numPr>
        <w:spacing w:after="0" w:line="276" w:lineRule="auto"/>
        <w:ind w:right="0"/>
        <w:jc w:val="left"/>
        <w:rPr>
          <w:rFonts w:ascii="Times New Arabic" w:hAnsi="Times New Arabic"/>
          <w:sz w:val="24"/>
          <w:szCs w:val="24"/>
        </w:rPr>
      </w:pPr>
      <w:r w:rsidRPr="00015871">
        <w:rPr>
          <w:rFonts w:ascii="Times New Arabic" w:hAnsi="Times New Arabic"/>
          <w:sz w:val="24"/>
          <w:szCs w:val="24"/>
        </w:rPr>
        <w:t>An author guidelines is available also at Teosofia Website.</w:t>
      </w:r>
      <w:bookmarkStart w:id="0" w:name="_GoBack"/>
      <w:bookmarkEnd w:id="0"/>
      <w:r w:rsidR="00015871" w:rsidRPr="00015871">
        <w:rPr>
          <w:rFonts w:ascii="Times New Arabic" w:hAnsi="Times New Arabic"/>
          <w:sz w:val="24"/>
          <w:szCs w:val="24"/>
        </w:rPr>
        <w:t xml:space="preserve"> </w:t>
      </w:r>
    </w:p>
    <w:sectPr w:rsidR="00CE2791" w:rsidRPr="00015871" w:rsidSect="00015871">
      <w:headerReference w:type="first" r:id="rId8"/>
      <w:footerReference w:type="first" r:id="rId9"/>
      <w:footnotePr>
        <w:numRestart w:val="eachSect"/>
      </w:footnotePr>
      <w:pgSz w:w="11900" w:h="16840"/>
      <w:pgMar w:top="1720" w:right="1400" w:bottom="1560" w:left="1420" w:header="1525" w:footer="156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5A" w:rsidRDefault="007A195A">
      <w:pPr>
        <w:spacing w:after="0" w:line="240" w:lineRule="auto"/>
      </w:pPr>
      <w:r>
        <w:separator/>
      </w:r>
    </w:p>
  </w:endnote>
  <w:endnote w:type="continuationSeparator" w:id="0">
    <w:p w:rsidR="007A195A" w:rsidRDefault="007A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 LT Std">
    <w:altName w:val="Baskerville Old Face"/>
    <w:panose1 w:val="02020602060506020403"/>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Arabic">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91" w:rsidRDefault="00CE2791">
    <w:pPr>
      <w:pStyle w:val="Footer"/>
      <w:ind w:left="0" w:firstLine="0"/>
    </w:pPr>
  </w:p>
  <w:sdt>
    <w:sdtPr>
      <w:id w:val="1769503106"/>
      <w:docPartObj>
        <w:docPartGallery w:val="Page Numbers (Bottom of Page)"/>
        <w:docPartUnique/>
      </w:docPartObj>
    </w:sdtPr>
    <w:sdtEndPr>
      <w:rPr>
        <w:noProof/>
      </w:rPr>
    </w:sdtEndPr>
    <w:sdtContent>
      <w:p w:rsidR="00CE2791" w:rsidRDefault="007C6311">
        <w:pPr>
          <w:spacing w:after="0" w:line="240" w:lineRule="auto"/>
          <w:ind w:left="437" w:right="130" w:hanging="437"/>
          <w:jc w:val="center"/>
          <w:rPr>
            <w:rFonts w:ascii="Times New Arabic" w:hAnsi="Times New Arabic"/>
            <w:spacing w:val="-2"/>
          </w:rPr>
        </w:pPr>
        <w:r>
          <w:rPr>
            <w:b/>
            <w:bCs/>
            <w:sz w:val="24"/>
            <w:szCs w:val="24"/>
          </w:rPr>
          <w:fldChar w:fldCharType="begin"/>
        </w:r>
        <w:r>
          <w:rPr>
            <w:b/>
            <w:bCs/>
            <w:sz w:val="24"/>
            <w:szCs w:val="24"/>
          </w:rPr>
          <w:instrText xml:space="preserve"> PAGE   \* MERGEFORMAT </w:instrText>
        </w:r>
        <w:r>
          <w:rPr>
            <w:b/>
            <w:bCs/>
            <w:sz w:val="24"/>
            <w:szCs w:val="24"/>
          </w:rPr>
          <w:fldChar w:fldCharType="separate"/>
        </w:r>
        <w:r w:rsidR="00015871">
          <w:rPr>
            <w:b/>
            <w:bCs/>
            <w:noProof/>
            <w:sz w:val="24"/>
            <w:szCs w:val="24"/>
          </w:rPr>
          <w:t>1</w:t>
        </w:r>
        <w:r>
          <w:rPr>
            <w:b/>
            <w:bCs/>
            <w:noProof/>
            <w:sz w:val="24"/>
            <w:szCs w:val="24"/>
          </w:rPr>
          <w:fldChar w:fldCharType="end"/>
        </w:r>
      </w:p>
      <w:p w:rsidR="00CE2791" w:rsidRDefault="007C6311">
        <w:pPr>
          <w:spacing w:after="0" w:line="240" w:lineRule="auto"/>
          <w:ind w:left="437" w:right="130" w:hanging="437"/>
          <w:rPr>
            <w:rFonts w:ascii="Times New Arabic" w:hAnsi="Times New Arabic"/>
            <w:spacing w:val="-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5A" w:rsidRDefault="007A195A">
      <w:pPr>
        <w:spacing w:after="0" w:line="240" w:lineRule="auto"/>
      </w:pPr>
      <w:r>
        <w:separator/>
      </w:r>
    </w:p>
  </w:footnote>
  <w:footnote w:type="continuationSeparator" w:id="0">
    <w:p w:rsidR="007A195A" w:rsidRDefault="007A195A">
      <w:pPr>
        <w:spacing w:after="0" w:line="240" w:lineRule="auto"/>
      </w:pPr>
      <w:r>
        <w:continuationSeparator/>
      </w:r>
    </w:p>
  </w:footnote>
  <w:footnote w:id="1">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{"citationID":"frWFJ1yG","properties":{"formattedCitation":"{\\rtf Re\\uc0\\u351{}it Haylamaz, {\\i{}Aisha: The Wife, The Companion, The Scholar} (New Jersey: Tughra Books, 2014), p. 25.}","plainCitation":"Reşit Haylamaz, Aisha: The Wife, The Companion, The Scholar (New Jersey: Tughra Books, 2014), p. 25."},"citationItems":[{"id":205,"uris":["http://zotero.org/users/2106567/items/7G2S2C7D"],"uri":["http://zotero.org/users/2106567/items/7G2S2C7D"],"itemData":{"id":205,"type":"book","title":"Aisha: The Wife, The Companion, The Scholar","publisher":"Tughra Books","publisher-place":"New Jersey","number-of-pages":"285","source":"Google Books","event-place":"New Jersey","abstract":"This study by Dr. Reşit Haylamaz, an expert on the life of the Prophet and his leading Companions, reflects her life in various aspects based on reliable reports. The book clarifies her critical role at establishing the Islamic teaching, with particular reference to her role in the transmission of private matters concerning women and marital relations, as well as recording the authentic sayings of the Prophet. As her sensitivity at practicing religion is related in a rich variety of examples, much disputed issues like her marriage age and her stance about Ali ibn Abu Talib are covered as separate topics.","ISBN":"978-1-59784-654-7","shortTitle":"Aisha","language":"en","author":[{"family":"Haylamaz","given":"Reşit"}],"issued":{"date-parts":[["2014",4,22]]}},"locator":"25","label":"page"}],"schema":"https://github.com/citation-style-language/schema/raw/master/csl-citation.json"} </w:instrText>
      </w:r>
      <w:r>
        <w:fldChar w:fldCharType="separate"/>
      </w:r>
      <w:r>
        <w:rPr>
          <w:szCs w:val="24"/>
        </w:rPr>
        <w:t xml:space="preserve">Reşit Haylamaz, </w:t>
      </w:r>
      <w:r>
        <w:rPr>
          <w:i/>
          <w:iCs/>
          <w:szCs w:val="24"/>
        </w:rPr>
        <w:t>Aisha: the Wife, the Companion, the Scholar</w:t>
      </w:r>
      <w:r>
        <w:rPr>
          <w:szCs w:val="24"/>
        </w:rPr>
        <w:t xml:space="preserve"> (New Jersey: Tughra Books, 2014), 25.</w:t>
      </w:r>
      <w:r>
        <w:fldChar w:fldCharType="end"/>
      </w:r>
    </w:p>
  </w:footnote>
  <w:footnote w:id="2">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{"citationID":"ClKNXunx","properties":{"formattedCitation":"{\\rtf {\\i{}Ibid.}, p. 20.}","plainCitation":"Ibid., p. 20."},"citationItems":[{"id":205,"uris":["http://zotero.org/users/2106567/items/7G2S2C7D"],"uri":["http://zotero.org/users/2106567/items/7G2S2C7D"],"itemData":{"id":205,"type":"book","title":"Aisha: The Wife, The Companion, The Scholar","publisher":"Tughra Books","publisher-place":"New Jersey","number-of-pages":"285","source":"Google Books","event-place":"New Jersey","abstract":"This study by Dr. Reşit Haylamaz, an expert on the life of the Prophet and his leading Companions, reflects her life in various aspects based on reliable reports. The book clarifies her critical role at establishing the Islamic teaching, with particular reference to her role in the transmission of private matters concerning women and marital relations, as well as recording the authentic sayings of the Prophet. As her sensitivity at practicing religion is related in a rich variety of examples, much disputed issues like her marriage age and her stance about Ali ibn Abu Talib are covered as separate topics.","ISBN":"978-1-59784-654-7","shortTitle":"Aisha","language":"en","author":[{"family":"Haylamaz","given":"Reşit"}],"issued":{"date-parts":[["2014",4,22]]}},"locator":"20","label":"page"}],"schema":"https://github.com/citation-style-language/schema/raw/master/csl-citation.json"} </w:instrText>
      </w:r>
      <w:r>
        <w:fldChar w:fldCharType="separate"/>
      </w:r>
      <w:r>
        <w:rPr>
          <w:i/>
          <w:iCs/>
          <w:szCs w:val="24"/>
        </w:rPr>
        <w:t>Ibid.</w:t>
      </w:r>
      <w:r>
        <w:rPr>
          <w:szCs w:val="24"/>
        </w:rPr>
        <w:t>, 20.</w:t>
      </w:r>
      <w:r>
        <w:fldChar w:fldCharType="end"/>
      </w:r>
    </w:p>
  </w:footnote>
  <w:footnote w:id="3">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{"citationID":"FhVcThIT","properties":{"formattedCitation":"{\\rtf Wahbah az-Zuhaili, {\\i{}al-Fiqh al-Isl\\uc0\\u257{}m\\uc0\\u299{} wa Adillatuhu}, vol. II, 2nd edition (Beirut: D\\uc0\\u257{}r al-Fikr, 1985), p. 3.}","plainCitation":"Wahbah az-Zuhaili, al-Fiqh al-Islāmī wa Adillatuhu, vol. II, 2nd edition (Beirut: Dār al-Fikr, 1985), p. 3."},"citationItems":[{"id":2835,"uris":["http://zotero.org/users/2106567/items/VJRKCBCR"],"uri":["http://zotero.org/users/2106567/items/VJRKCBCR"],"itemData":{"id":2835,"type":"book","title":"al-Fiqh al-Islāmī wa Adillatuhu","publisher":"Dār al-Fikr","publisher-place":"Beirut","volume":"II","edition":"2","event-place":"Beirut","author":[{"family":"Zuhaili","given":"Wahbah","non-dropping-particle":"az-"}],"issued":{"date-parts":[["1985"]]}},"locator":"3","label":"page"}],"schema":"https://github.com/citation-style-language/schema/raw/master/csl-citation.json"} </w:instrText>
      </w:r>
      <w:r>
        <w:fldChar w:fldCharType="separate"/>
      </w:r>
      <w:r>
        <w:rPr>
          <w:szCs w:val="24"/>
        </w:rPr>
        <w:t xml:space="preserve">Wahbah az-Zuhaili, </w:t>
      </w:r>
      <w:r>
        <w:rPr>
          <w:i/>
          <w:iCs/>
          <w:szCs w:val="24"/>
        </w:rPr>
        <w:t>al-Fiqh al-Islāmī wa Adillatuhu</w:t>
      </w:r>
      <w:r>
        <w:rPr>
          <w:szCs w:val="24"/>
        </w:rPr>
        <w:t>, vol. II, 2nd edition (Beirut: Dār al-Fikr, 1985), 3.</w:t>
      </w:r>
      <w:r>
        <w:fldChar w:fldCharType="end"/>
      </w:r>
    </w:p>
  </w:footnote>
  <w:footnote w:id="4">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{"citationID":"sHJUUIJ3","properties":{"formattedCitation":"{\\rtf {\\i{}Ibid.}, II: 5.}","plainCitation":"Ibid., II: 5."},"citationItems":[{"id":2835,"uris":["http://zotero.org/users/2106567/items/VJRKCBCR"],"uri":["http://zotero.org/users/2106567/items/VJRKCBCR"],"itemData":{"id":2835,"type":"book","title":"al-Fiqh al-Islāmī wa Adillatuhu","publisher":"Dār al-Fikr","publisher-place":"Beirut","volume":"II","edition":"2","event-place":"Beirut","author":[{"family":"Zuhaili","given":"Wahbah","non-dropping-particle":"az-"}],"issued":{"date-parts":[["1985"]]}},"locator":"5","label":"page"}],"schema":"https://github.com/citation-style-language/schema/raw/master/csl-citation.json"} </w:instrText>
      </w:r>
      <w:r>
        <w:fldChar w:fldCharType="separate"/>
      </w:r>
      <w:r>
        <w:rPr>
          <w:i/>
          <w:iCs/>
          <w:szCs w:val="24"/>
        </w:rPr>
        <w:t>Ibid.</w:t>
      </w:r>
      <w:r>
        <w:rPr>
          <w:szCs w:val="24"/>
        </w:rPr>
        <w:t>, II: 5.</w:t>
      </w:r>
      <w:r>
        <w:fldChar w:fldCharType="end"/>
      </w:r>
    </w:p>
  </w:footnote>
  <w:footnote w:id="5">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{"citationID":"hJ2ELyYy","properties":{"formattedCitation":"{\\rtf Haylamaz, {\\i{}Aisha}, p. 50.}","plainCitation":"Haylamaz, Aisha, p. 50."},"citationItems":[{"id":205,"uris":["http://zotero.org/users/2106567/items/7G2S2C7D"],"uri":["http://zotero.org/users/2106567/items/7G2S2C7D"],"itemData":{"id":205,"type":"book","title":"Aisha: The Wife, The Companion, The Scholar","publisher":"Tughra Books","publisher-place":"New Jersey","number-of-pages":"285","source":"Google Books","event-place":"New Jersey","abstract":"This study by Dr. Reşit Haylamaz, an expert on the life of the Prophet and his leading Companions, reflects her life in various aspects based on reliable reports. The book clarifies her critical role at establishing the Islamic teaching, with particular reference to her role in the transmission of private matters concerning women and marital relations, as well as recording the authentic sayings of the Prophet. As her sensitivity at practicing religion is related in a rich variety of examples, much disputed issues like her marriage age and her stance about Ali ibn Abu Talib are covered as separate topics.","ISBN":"978-1-59784-654-7","shortTitle":"Aisha","language":"en","author":[{"family":"Haylamaz","given":"Reşit"}],"issued":{"date-parts":[["2014",4,22]]}},"locator":"50","label":"page"}],"schema":"https://github.com/citation-style-language/schema/raw/master/csl-citation.json"} </w:instrText>
      </w:r>
      <w:r>
        <w:fldChar w:fldCharType="separate"/>
      </w:r>
      <w:r>
        <w:rPr>
          <w:szCs w:val="24"/>
        </w:rPr>
        <w:t xml:space="preserve">Haylamaz, </w:t>
      </w:r>
      <w:r>
        <w:rPr>
          <w:i/>
          <w:iCs/>
          <w:szCs w:val="24"/>
        </w:rPr>
        <w:t>Aisha</w:t>
      </w:r>
      <w:r>
        <w:rPr>
          <w:szCs w:val="24"/>
        </w:rPr>
        <w:t>, 50.</w:t>
      </w:r>
      <w:r>
        <w:fldChar w:fldCharType="end"/>
      </w:r>
    </w:p>
  </w:footnote>
  <w:footnote w:id="6">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{"citationID":"wJPQoTqY","properties":{"formattedCitation":"{\\rtf Moch Nur Ichwan, \\uc0\\u8220{}Differing Responses to an Ahmadi Translation and Exegesis: The Holy Qur\\uc0\\u8217{}\\uc0\\u226{}n in Egypt and Indonesia\\uc0\\u8221{}, {\\i{}Archipel}, vol. 62, no. 1 (2001), pp. 143\\uc0\\u8211{}61.}","plainCitation":"Moch Nur Ichwan, “Differing Responses to an Ahmadi Translation and Exegesis: The Holy Qur’ân in Egypt and Indonesia”, Archipel, vol. 62, no. 1 (2001), pp. 143–61."},"citationItems":[{"id":2754,"uris":["http://zotero.org/users/2106567/items/DREE7WGD"],"uri":["http://zotero.org/users/2106567/items/DREE7WGD"],"itemData":{"id":2754,"type":"article-journal","title":"Differing Responses to an Ahmadi Translation and Exegesis: The Holy Qur'ân in Egypt and Indonesia","container-title":"Archipel","page":"143-161","volume":"62","issue":"1","source":"CrossRef","DOI":"10.3406/arch.2001.3668","ISSN":"0044-8613","shortTitle":"Differing Responses to an Ahmadi Translation and Exegesis","language":"fr","author":[{"family":"Nur Ichwan","given":"Moch"}],"issued":{"date-parts":[["2001"]]}}}],"schema":"https://github.com/citation-style-language/schema/raw/master/csl-citation.json"} </w:instrText>
      </w:r>
      <w:r>
        <w:fldChar w:fldCharType="separate"/>
      </w:r>
      <w:r>
        <w:rPr>
          <w:szCs w:val="24"/>
        </w:rPr>
        <w:t xml:space="preserve">Moch Nur Ichwan, “Differing Responses to an Ahmadi Translation and Exegesis: the Holy Qur’ân in Egypt and Indonesia”, </w:t>
      </w:r>
      <w:r>
        <w:rPr>
          <w:i/>
          <w:iCs/>
          <w:szCs w:val="24"/>
        </w:rPr>
        <w:t>Archipel</w:t>
      </w:r>
      <w:r>
        <w:rPr>
          <w:szCs w:val="24"/>
        </w:rPr>
        <w:t>, vol. 62, no. 1 (2001), p143–61.</w:t>
      </w:r>
      <w:r>
        <w:fldChar w:fldCharType="end"/>
      </w:r>
    </w:p>
  </w:footnote>
  <w:footnote w:id="7">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{"citationID":"LHzTPfOV","properties":{"formattedCitation":"{\\rtf Carlos Ulibarri, \\uc0\\u8220{}Rational Philanthropy and Cultural Capital\\uc0\\u8221{}, {\\i{}Journal of Cultural Economics}, vol. 24, no. 2 (2000), p. 5.}","plainCitation":"Carlos Ulibarri, “Rational Philanthropy and Cultural Capital”, Journal of Cultural Economics, vol. 24, no. 2 (2000), p. 5."},"citationItems":[{"id":84,"uris":["http://zotero.org/users/2106567/items/46UUVIUZ"],"uri":["http://zotero.org/users/2106567/items/46UUVIUZ"],"itemData":{"id":84,"type":"article-journal","title":"Rational Philanthropy and Cultural Capital","container-title":"Journal of Cultural Economics","page":"135-146","volume":"24","issue":"2","source":"RePEc - IDEAS","abstract":"This paper develops a theory of rational philanthropyin forming ``cultural capital'' and aestheticpreferences. The study maintains that changes incapital market opportunities provide investmentmotives for private and public giving. Theseimplications are examined in a Vector Autoregressive(VAR) model of funding in the arts and humanities inthe United States for the period 1966 to 1997. Theresults suggest private philanthropy increased inresponse to both lower real returns on capital marketassets and cuts in public funding. On the other hand,public funding for the endowments is not explained byany of the variables in the model, including its pasthistory. Copyright Kluwer Academic Publishers 2000","DOI":"10.1023/A:1007639601013","shortTitle":"Rational Philanthropy","author":[{"family":"Ulibarri","given":"Carlos"}],"issued":{"date-parts":[["2000"]]}},"locator":"5","label":"page"}],"schema":"https://github.com/citation-style-language/schema/raw/master/csl-citation.json"} </w:instrText>
      </w:r>
      <w:r>
        <w:fldChar w:fldCharType="separate"/>
      </w:r>
      <w:r>
        <w:rPr>
          <w:szCs w:val="24"/>
        </w:rPr>
        <w:t xml:space="preserve">Carlos Ulibarri, “Rational Philanthropy and Cultural Capital”, </w:t>
      </w:r>
      <w:r>
        <w:rPr>
          <w:i/>
          <w:iCs/>
          <w:szCs w:val="24"/>
        </w:rPr>
        <w:t>Journal of Cultural Economics</w:t>
      </w:r>
      <w:r>
        <w:rPr>
          <w:szCs w:val="24"/>
        </w:rPr>
        <w:t>, vol. 24, no. 2 (2000),  5.</w:t>
      </w:r>
      <w:r>
        <w:fldChar w:fldCharType="end"/>
      </w:r>
    </w:p>
  </w:footnote>
  <w:footnote w:id="8">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{"citationID":"fkItHdWX","properties":{"formattedCitation":"{\\rtf Wildan Pramudya, \\uc0\\u8220{}Antropologi Zakat: System of Giving dalam Islam\\uc0\\u8221{}, {\\i{}Wildan Pramudya} (30 Aug 2010), https://pramudyarifin.wordpress.com/2010/08/30/antropologi-zakat-system-of-giving-dalam-islam/, accessed 26 May 2014.}","plainCitation":"Wildan Pramudya, “Antropologi Zakat: System of Giving dalam Islam”, Wildan Pramudya (30 Aug 2010), https://pramudyarifin.wordpress.com/2010/08/30/antropologi-zakat-system-of-giving-dalam-islam/, accessed 26 May 2014."},"citationItems":[{"id":222,"uris":["http://zotero.org/users/2106567/items/7V5BEWUI"],"uri":["http://zotero.org/users/2106567/items/7V5BEWUI"],"itemData":{"id":222,"type":"post-weblog","title":"Antropologi Zakat: System of Giving dalam Islam","container-title":"Wildan Pramudya","abstract":"Dalam tulisan singkat yang menjadi fokus dari tulisan Wldan ini akan membahas secara khusus tentang zakat dari sudut pandang antropologis, bukan dari sisi hukum normatif (fiqih). \nDalam pembahasa lainya oleh wildan di jelaskan pada bagian pembahasan bahwa zakat sebagai sytem of giving atau kita mengenalnya dengan religion giving pada pada implimentasinya di sebuah situasi sosiokultural Indonesia.\nDengan mengunakan pisau analisa dari marcell Mauss, Derrida dan Bourdieu di pembahasan tentu sangat ketal dengan perspektif antropologis..","URL":"https://pramudyarifin.wordpress.com/2010/08/30/antropologi-zakat-system-of-giving-dalam-islam/","shortTitle":"Antropologi Zakat","author":[{"family":"Pramudya","given":"Wildan"}],"issued":{"date-parts":[["2010",8,30]]},"accessed":{"date-parts":[["2014",5,26]]}}}],"schema":"https://github.com/citation-style-language/schema/raw/master/csl-citation.json"} </w:instrText>
      </w:r>
      <w:r>
        <w:fldChar w:fldCharType="separate"/>
      </w:r>
      <w:r>
        <w:rPr>
          <w:szCs w:val="24"/>
        </w:rPr>
        <w:t xml:space="preserve">Wildan Pramudya, “Antropologi Zakat: System of Giving dalam Islam”, </w:t>
      </w:r>
      <w:r>
        <w:rPr>
          <w:i/>
          <w:iCs/>
          <w:szCs w:val="24"/>
        </w:rPr>
        <w:t>Wildan Pramudya</w:t>
      </w:r>
      <w:r>
        <w:rPr>
          <w:szCs w:val="24"/>
        </w:rPr>
        <w:t xml:space="preserve"> (30 Aug 2010), https://pramudyarifin.wordpress.com/2010/08/30/antropologi-zakat-system-of-giving-dalam-islam/, accessed 26 May 2014.</w:t>
      </w:r>
      <w:r>
        <w:fldChar w:fldCharType="end"/>
      </w:r>
    </w:p>
  </w:footnote>
  <w:footnote w:id="9">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{"citationID":"aSqHM2Us","properties":{"formattedCitation":"{\\rtf Nyein Pyae Sone, \\uc0\\u8220{}At Rangoon Mosque, Buddhist Monks Accept Alms and Discuss Tolerance\\uc0\\u8221{}, {\\i{}The Irrawaddy} (4 Jul 2013), http://www.irrawaddy.com/conflict/at-rangoon-mosque-buddhist-monks-accept-alms-and-discuss-tolerance.html, accessed 4 Jul 2013.}","plainCitation":"Nyein Pyae Sone, “At Rangoon Mosque, Buddhist Monks Accept Alms and Discuss Tolerance”, The Irrawaddy (4 Jul 2013), http://www.irrawaddy.com/conflict/at-rangoon-mosque-buddhist-monks-accept-alms-and-discuss-tolerance.html, accessed 4 Jul 2013."},"citationItems":[{"id":840,"uris":["http://zotero.org/users/2106567/items/QD54PCCF"],"uri":["http://zotero.org/users/2106567/items/QD54PCCF"],"itemData":{"id":840,"type":"post-weblog","title":"At Rangoon Mosque, Buddhist Monks Accept Alms and Discuss Tolerance","container-title":"The Irrawaddy","abstract":"At a mosque in Burma’s biggest city, an interfaith group offers Buddhist monks a meal and a chance to talk with Muslim leaders.","URL":"http://www.irrawaddy.com/conflict/at-rangoon-mosque-buddhist-monks-accept-alms-and-discuss-tolerance.html","shortTitle":"At Rangoon Mosque","author":[{"family":"Sone","given":"Nyein Pyae"}],"issued":{"date-parts":[["2013",7,4]]},"accessed":{"date-parts":[["2013",7,4]]}}}],"schema":"https://github.com/citation-style-language/schema/raw/master/csl-citation.json"} </w:instrText>
      </w:r>
      <w:r>
        <w:fldChar w:fldCharType="separate"/>
      </w:r>
      <w:r>
        <w:rPr>
          <w:szCs w:val="24"/>
        </w:rPr>
        <w:t xml:space="preserve">Nyein Pyae Sone, “At Rangoon Mosque, Buddhist Monks Accept Alms and Discuss Tolerance”, </w:t>
      </w:r>
      <w:r>
        <w:rPr>
          <w:i/>
          <w:iCs/>
          <w:szCs w:val="24"/>
        </w:rPr>
        <w:t>The Irrawaddy</w:t>
      </w:r>
      <w:r>
        <w:rPr>
          <w:szCs w:val="24"/>
        </w:rPr>
        <w:t xml:space="preserve"> (4 Jul 2013), http://www.irrawaddy.com/conflict/at-rangoon-mosque-buddhist-monks-accept-alms-and-discuss-tolerance.html, accessed 4 Jul 2013.</w:t>
      </w:r>
      <w:r>
        <w:fldChar w:fldCharType="end"/>
      </w:r>
    </w:p>
  </w:footnote>
  <w:footnote w:id="10">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{"citationID":"9ohYGx5g","properties":{"formattedCitation":"{\\rtf Mark Edelman and Sandra Charvat Burke, {\\i{}Creating Philanthropy Initiatives to Enhance Community Vitality}, Staff General Research Report, no. 12951 (Iowa State University, Department of Economics, 2008), p. 4, https://ideas.repec.org/cgi-bin/htsearch?q=philanthropy, accessed 23 Jun 2015.}","plainCitation":"Mark Edelman and Sandra Charvat Burke, Creating Philanthropy Initiatives to Enhance Community Vitality, Staff General Research Report, no. 12951 (Iowa State University, Department of Economics, 2008), p. 4, https://ideas.repec.org/cgi-bin/htsearch?q=philanthropy, accessed 23 Jun 2015."},"citationItems":[{"id":1028,"uris":["http://zotero.org/users/2106567/items/VV6SVS9Q"],"uri":["http://zotero.org/users/2106567/items/VV6SVS9Q"],"itemData":{"id":1028,"type":"report","title":"Creating Philanthropy Initiatives to Enhance Community Vitality","publisher":"Iowa State University, Department of Economics","genre":"Staff General Research Report","source":"RePEc - IDEAS","abstract":"Many community leaders are interested in exploring strategies for attracting intergenerational wealth transfer and philanthropy initiatives that channel reinvestment into community foundations, endowments, and other philanthropic mechanisms for sustaining assets critical for community vitality. Do successful models for doing so exist? If so, can they be replicated? This report examines key concepts, best practices, and steps that can help motivate community leaders and enhance community vitality.","URL":"https://ideas.repec.org/cgi-bin/htsearch?q=philanthropy","number":"12951","author":[{"family":"Edelman","given":"Mark"},{"family":"Burke","given":"Sandra Charvat"}],"issued":{"date-parts":[["2008"]]},"accessed":{"date-parts":[["2015",6,23]]}},"locator":"4","label":"page"}],"schema":"https://github.com/citation-style-language/schema/raw/master/csl-citation.json"} </w:instrText>
      </w:r>
      <w:r>
        <w:fldChar w:fldCharType="separate"/>
      </w:r>
      <w:r>
        <w:rPr>
          <w:szCs w:val="24"/>
        </w:rPr>
        <w:t xml:space="preserve">Mark Edelman and Sandra Charvat Burke, </w:t>
      </w:r>
      <w:r>
        <w:rPr>
          <w:i/>
          <w:iCs/>
          <w:szCs w:val="24"/>
        </w:rPr>
        <w:t>Creating Philanthropy Initiatives to Enhance Community Vitality</w:t>
      </w:r>
      <w:r>
        <w:rPr>
          <w:szCs w:val="24"/>
        </w:rPr>
        <w:t>, Staff General Research Report, no. 12951 (Iowa State University, Department of Economics, 2008), 4, https://ideas.repec.org/cgi-bin/htsearch?q=philanthropy, accessed 23 Jun 2015.</w:t>
      </w:r>
      <w:r>
        <w:fldChar w:fldCharType="end"/>
      </w:r>
    </w:p>
  </w:footnote>
  <w:footnote w:id="11">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{"citationID":"uWK9nId9","properties":{"formattedCitation":"{\\rtf J. Iqbal, \\uc0\\u8220{}Democracy and the Modern Islamic State\\uc0\\u8221{}, in {\\i{}Voices of Resurgent Islam}, ed. by John L. Esposito (Oxford University Press, 1983).}","plainCitation":"J. Iqbal, “Democracy and the Modern Islamic State”, in Voices of Resurgent Islam, ed. by John L. Esposito (Oxford University Press, 1983)."},"citationItems":[{"id":404,"uris":["http://zotero.org/users/2106567/items/CXWQ4RR9"],"uri":["http://zotero.org/users/2106567/items/CXWQ4RR9"],"itemData":{"id":404,"type":"chapter","title":"Democracy and the Modern Islamic State","container-title":"Voices of Resurgent Islam","publisher":"Oxford University Press","source":"Google Books","abstract":"The Muslim world extends from North Africa to Southeast Asia. In addition to some forty-three Muslim (majority) countries, Muslims constitute a significant minority in another twenty countries. The more than 800 million Muslims comprise almost a fifth of the world's population. The size and geographic expanse of the Muslim world and its emergence as a world economic power whose political stability is of increasing importance to the Western world have made an understanding of events in the Muslim world a critical concern. The purpose of this volume is to provide some insight into a phenomenon that has swept the Muslim world. It has been described by various titles: Islamic Resurgence, Islamic Revival, Militant Islam, Rise of Islamic Fundamentalism. This volume will explore the origins, development, prospects, and implications of the Islamic resurgence through both analytical studies (on the history and major influences of the resurgence) as well as the statements of Muslim scholar/ activists engaged in the political, social, and economic aspects of the Islamic resurgence today. -- from Introduction (p. 3).","ISBN":"978-0-19-503340-3","shortTitle":"Democracy and the Modern","language":"en","author":[{"family":"Iqbal","given":"J."}],"editor":[{"family":"Esposito","given":"John L."}],"issued":{"date-parts":[["1983"]]}}}],"schema":"https://github.com/citation-style-language/schema/raw/master/csl-citation.json"} </w:instrText>
      </w:r>
      <w:r>
        <w:fldChar w:fldCharType="separate"/>
      </w:r>
      <w:r>
        <w:rPr>
          <w:szCs w:val="24"/>
        </w:rPr>
        <w:t xml:space="preserve">J. Iqbal, “Democracy and the Modern Islamic State”, in </w:t>
      </w:r>
      <w:r>
        <w:rPr>
          <w:i/>
          <w:iCs/>
          <w:szCs w:val="24"/>
        </w:rPr>
        <w:t>Voices of Resurgent Islam</w:t>
      </w:r>
      <w:r>
        <w:rPr>
          <w:szCs w:val="24"/>
        </w:rPr>
        <w:t>, ed. by John L. Esposito (Oxford University Press, 1983).</w:t>
      </w:r>
      <w:r>
        <w:fldChar w:fldCharType="end"/>
      </w:r>
    </w:p>
  </w:footnote>
  <w:footnote w:id="12">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{"citationID":"bP21l12K","properties":{"formattedCitation":"{\\rtf Nadirsyah Hosen, \\uc0\\u8220{}Shari\\uc0\\u8217{}a &amp; Constitutional Reform in Indonesia\\uc0\\u8221{}, Master Thesis (Singapore: National University of Singapore, 2005).}","plainCitation":"Nadirsyah Hosen, “Shari’a &amp; Constitutional Reform in Indonesia”, Master Thesis (Singapore: National University of Singapore, 2005)."},"citationItems":[{"id":319,"uris":["http://zotero.org/users/2106567/items/AJQ6XI5H"],"uri":["http://zotero.org/users/2106567/items/AJQ6XI5H"],"itemData":{"id":319,"type":"thesis","title":"Shari'a &amp; Constitutional Reform in Indonesia","publisher":"National University of Singapore","publisher-place":"Singapore","number-of-pages":"282","genre":"Master Thesis","source":"Google Books","event-place":"Singapore","abstract":"This book focuses on constitutional reform in Indonesia (1999-2002) from the perspective of shari'a. Since the end of Soeharto's New Order government in 1998, Indonesia, the largest Muslim country in the world, has amended the 1945 Constitution four times. Soeharto's departure also opened the way for several Muslim groups and political parties to propose the introduction of shari'a into the Constitution. This book poses the crucial question implicit in the amendments to the 1945 Constitution: can shari'a and democratic constitutionalism be fused without compromising on human rights, the rule of law, and religious liberty? The contributions of Islamic political parties in Indonesia to the process and the outcome of the amendments, by adopting a substantive shari'a approach, reflect the ability to deal with a modern Constitution without abandoning the principles and the objectives of shari'a. The study reveals one possible picture of how Islam and constitutionalism can co-exist in the same vision, not without risk of tension, but with the possibility of success.","shortTitle":"Shari'a &amp; Constitutional","language":"en","author":[{"family":"Hosen","given":"Nadirsyah"}],"issued":{"date-parts":[["2005"]]}}}],"schema":"https://github.com/citation-style-language/schema/raw/master/csl-citation.json"} </w:instrText>
      </w:r>
      <w:r>
        <w:fldChar w:fldCharType="separate"/>
      </w:r>
      <w:r>
        <w:rPr>
          <w:szCs w:val="24"/>
        </w:rPr>
        <w:t>Nadirsyah Hosen, “Shari’a &amp; Constitutional Reform in Indonesia”, Master Thesis (Singapore: National University of Singapore, 2005).</w:t>
      </w:r>
      <w:r>
        <w:fldChar w:fldCharType="end"/>
      </w:r>
    </w:p>
  </w:footnote>
  <w:footnote w:id="13">
    <w:p w:rsidR="00CE2791" w:rsidRDefault="007C6311">
      <w:pPr>
        <w:pStyle w:val="FootnoteText"/>
        <w:ind w:left="709" w:hanging="142"/>
      </w:pPr>
      <w:r>
        <w:rPr>
          <w:rStyle w:val="FootnoteReference"/>
        </w:rPr>
        <w:footnoteRef/>
      </w:r>
      <w:r>
        <w:rPr>
          <w:rFonts w:hint="cs"/>
          <w:rtl/>
        </w:rPr>
        <w:t xml:space="preserve"> </w:t>
      </w:r>
      <w:r>
        <w:fldChar w:fldCharType="begin"/>
      </w:r>
      <w:r>
        <w:instrText xml:space="preserve"> ADDIN ZOTERO_ITEM CSL_CITATION {"citationID":"1LNFuTGO","properties":{"formattedCitation":"{\\rtf Kevin William Fogg, \\uc0\\u8220{}The Fate of Muslim Nationalism in Independent Indonesia\\uc0\\u8221{}, PhD. Dissertation (Yale University, 2012), http://gradworks.umi.com/35/35/3535314.html, accessed 16 Feb 2016.}","plainCitation":"Kevin William Fogg, “The Fate of Muslim Nationalism in Independent Indonesia”, PhD. Dissertation (Yale University, 2012), http://gradworks.umi.com/35/35/3535314.html, accessed 16 Feb 2016."},"citationItems":[{"id":2819,"uris":["http://zotero.org/users/2106567/items/SIJ98VAA"],"uri":["http://zotero.org/users/2106567/items/SIJ98VAA"],"itemData":{"id":2819,"type":"thesis","title":"The Fate of Muslim Nationalism in Independent Indonesia","publisher":"Yale University","genre":"PhD. Dissertation","source":"gradworks.umi.com","URL":"http://gradworks.umi.com/35/35/3535314.html","shortTitle":"The Fate of Muslim Nationalism","author":[{"family":"Fogg","given":"Kevin William"}],"issued":{"date-parts":[["2012"]]},"accessed":{"date-parts":[["2016",2,16]]}}}],"schema":"https://github.com/citation-style-language/schema/raw/master/csl-citation.json"} </w:instrText>
      </w:r>
      <w:r>
        <w:fldChar w:fldCharType="separate"/>
      </w:r>
      <w:r>
        <w:rPr>
          <w:szCs w:val="24"/>
        </w:rPr>
        <w:t>Kevin William Fogg, “The Fate of Muslim Nationalism in Independent Indonesia”, PhD. Dissertation (Yale University, 2012), http://gradworks.umi.com/35/35/3535314.html, accessed 16 Feb 2016.</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91" w:rsidRDefault="00CE27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4E4"/>
    <w:multiLevelType w:val="hybridMultilevel"/>
    <w:tmpl w:val="9E06EC3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0BC820B3"/>
    <w:multiLevelType w:val="hybridMultilevel"/>
    <w:tmpl w:val="4AC6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101F"/>
    <w:multiLevelType w:val="hybridMultilevel"/>
    <w:tmpl w:val="693EF2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93253F"/>
    <w:multiLevelType w:val="hybridMultilevel"/>
    <w:tmpl w:val="F0C0A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9173C"/>
    <w:multiLevelType w:val="hybridMultilevel"/>
    <w:tmpl w:val="140C8AC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C8C3DAB"/>
    <w:multiLevelType w:val="hybridMultilevel"/>
    <w:tmpl w:val="3EC09A6E"/>
    <w:lvl w:ilvl="0" w:tplc="DA101DD6">
      <w:start w:val="1"/>
      <w:numFmt w:val="decimal"/>
      <w:lvlText w:val="%1."/>
      <w:lvlJc w:val="left"/>
      <w:pPr>
        <w:ind w:left="720" w:hanging="360"/>
      </w:pPr>
      <w:rPr>
        <w:rFonts w:cs="Traditional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F81ABF"/>
    <w:multiLevelType w:val="hybridMultilevel"/>
    <w:tmpl w:val="173CD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56E99"/>
    <w:multiLevelType w:val="hybridMultilevel"/>
    <w:tmpl w:val="C2887D8C"/>
    <w:lvl w:ilvl="0" w:tplc="C95447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76E"/>
    <w:multiLevelType w:val="hybridMultilevel"/>
    <w:tmpl w:val="AE92BE80"/>
    <w:lvl w:ilvl="0" w:tplc="D8F6DD06">
      <w:start w:val="1"/>
      <w:numFmt w:val="decimal"/>
      <w:lvlText w:val="%1."/>
      <w:lvlJc w:val="left"/>
      <w:pPr>
        <w:ind w:left="2137" w:hanging="360"/>
      </w:pPr>
      <w:rPr>
        <w:rFonts w:cs="Traditional Arabic"/>
      </w:rPr>
    </w:lvl>
    <w:lvl w:ilvl="1" w:tplc="04090019" w:tentative="1">
      <w:start w:val="1"/>
      <w:numFmt w:val="lowerLetter"/>
      <w:lvlText w:val="%2."/>
      <w:lvlJc w:val="left"/>
      <w:pPr>
        <w:ind w:left="2857" w:hanging="360"/>
      </w:pPr>
      <w:rPr>
        <w:rFonts w:cs="Times New Roman"/>
      </w:rPr>
    </w:lvl>
    <w:lvl w:ilvl="2" w:tplc="0409001B" w:tentative="1">
      <w:start w:val="1"/>
      <w:numFmt w:val="lowerRoman"/>
      <w:lvlText w:val="%3."/>
      <w:lvlJc w:val="right"/>
      <w:pPr>
        <w:ind w:left="3577" w:hanging="180"/>
      </w:pPr>
      <w:rPr>
        <w:rFonts w:cs="Times New Roman"/>
      </w:rPr>
    </w:lvl>
    <w:lvl w:ilvl="3" w:tplc="0409000F" w:tentative="1">
      <w:start w:val="1"/>
      <w:numFmt w:val="decimal"/>
      <w:lvlText w:val="%4."/>
      <w:lvlJc w:val="left"/>
      <w:pPr>
        <w:ind w:left="4297" w:hanging="360"/>
      </w:pPr>
      <w:rPr>
        <w:rFonts w:cs="Times New Roman"/>
      </w:rPr>
    </w:lvl>
    <w:lvl w:ilvl="4" w:tplc="04090019" w:tentative="1">
      <w:start w:val="1"/>
      <w:numFmt w:val="lowerLetter"/>
      <w:lvlText w:val="%5."/>
      <w:lvlJc w:val="left"/>
      <w:pPr>
        <w:ind w:left="5017" w:hanging="360"/>
      </w:pPr>
      <w:rPr>
        <w:rFonts w:cs="Times New Roman"/>
      </w:rPr>
    </w:lvl>
    <w:lvl w:ilvl="5" w:tplc="0409001B" w:tentative="1">
      <w:start w:val="1"/>
      <w:numFmt w:val="lowerRoman"/>
      <w:lvlText w:val="%6."/>
      <w:lvlJc w:val="right"/>
      <w:pPr>
        <w:ind w:left="5737" w:hanging="180"/>
      </w:pPr>
      <w:rPr>
        <w:rFonts w:cs="Times New Roman"/>
      </w:rPr>
    </w:lvl>
    <w:lvl w:ilvl="6" w:tplc="0409000F" w:tentative="1">
      <w:start w:val="1"/>
      <w:numFmt w:val="decimal"/>
      <w:lvlText w:val="%7."/>
      <w:lvlJc w:val="left"/>
      <w:pPr>
        <w:ind w:left="6457" w:hanging="360"/>
      </w:pPr>
      <w:rPr>
        <w:rFonts w:cs="Times New Roman"/>
      </w:rPr>
    </w:lvl>
    <w:lvl w:ilvl="7" w:tplc="04090019" w:tentative="1">
      <w:start w:val="1"/>
      <w:numFmt w:val="lowerLetter"/>
      <w:lvlText w:val="%8."/>
      <w:lvlJc w:val="left"/>
      <w:pPr>
        <w:ind w:left="7177" w:hanging="360"/>
      </w:pPr>
      <w:rPr>
        <w:rFonts w:cs="Times New Roman"/>
      </w:rPr>
    </w:lvl>
    <w:lvl w:ilvl="8" w:tplc="0409001B" w:tentative="1">
      <w:start w:val="1"/>
      <w:numFmt w:val="lowerRoman"/>
      <w:lvlText w:val="%9."/>
      <w:lvlJc w:val="right"/>
      <w:pPr>
        <w:ind w:left="7897" w:hanging="180"/>
      </w:pPr>
      <w:rPr>
        <w:rFonts w:cs="Times New Roman"/>
      </w:rPr>
    </w:lvl>
  </w:abstractNum>
  <w:abstractNum w:abstractNumId="9" w15:restartNumberingAfterBreak="0">
    <w:nsid w:val="79255D9C"/>
    <w:multiLevelType w:val="hybridMultilevel"/>
    <w:tmpl w:val="65D62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90FD3"/>
    <w:multiLevelType w:val="hybridMultilevel"/>
    <w:tmpl w:val="DBFE3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1"/>
  </w:num>
  <w:num w:numId="6">
    <w:abstractNumId w:val="7"/>
  </w:num>
  <w:num w:numId="7">
    <w:abstractNumId w:val="0"/>
  </w:num>
  <w:num w:numId="8">
    <w:abstractNumId w:val="4"/>
  </w:num>
  <w:num w:numId="9">
    <w:abstractNumId w:val="2"/>
  </w:num>
  <w:num w:numId="10">
    <w:abstractNumId w:val="1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wNjY3NrcwtzAyMbZU0lEKTi0uzszPAykwrQUAA8T+1ywAAAA="/>
  </w:docVars>
  <w:rsids>
    <w:rsidRoot w:val="00CE2791"/>
    <w:rsid w:val="00015871"/>
    <w:rsid w:val="007A195A"/>
    <w:rsid w:val="007C6311"/>
    <w:rsid w:val="00B831E1"/>
    <w:rsid w:val="00CE2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F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paragraph" w:styleId="Heading5">
    <w:name w:val="heading 5"/>
    <w:basedOn w:val="Normal"/>
    <w:next w:val="Normal"/>
    <w:link w:val="Heading5Char"/>
    <w:uiPriority w:val="9"/>
    <w:semiHidden/>
    <w:unhideWhenUsed/>
    <w:qFormat/>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qFormat/>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rPr>
  </w:style>
  <w:style w:type="paragraph" w:styleId="Heading7">
    <w:name w:val="heading 7"/>
    <w:basedOn w:val="Normal"/>
    <w:next w:val="Normal"/>
    <w:link w:val="Heading7Char"/>
    <w:uiPriority w:val="9"/>
    <w:semiHidden/>
    <w:unhideWhenUsed/>
    <w:qFormat/>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9"/>
    <w:semiHidden/>
    <w:unhideWhenUsed/>
    <w:qFormat/>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 w:val="24"/>
      <w:szCs w:val="24"/>
    </w:rPr>
  </w:style>
  <w:style w:type="paragraph" w:styleId="Heading9">
    <w:name w:val="heading 9"/>
    <w:basedOn w:val="Normal"/>
    <w:next w:val="Normal"/>
    <w:link w:val="Heading9Char"/>
    <w:uiPriority w:val="99"/>
    <w:semiHidden/>
    <w:unhideWhenUsed/>
    <w:qFormat/>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character" w:customStyle="1" w:styleId="Heading3Char">
    <w:name w:val="Heading 3 Char"/>
    <w:link w:val="Heading3"/>
    <w:uiPriority w:val="9"/>
    <w:rPr>
      <w:rFonts w:ascii="Calibri" w:eastAsia="Calibri" w:hAnsi="Calibri" w:cs="Calibri"/>
      <w:color w:val="000000"/>
      <w:sz w:val="22"/>
    </w:rPr>
  </w:style>
  <w:style w:type="character" w:customStyle="1" w:styleId="Heading4Char">
    <w:name w:val="Heading 4 Char"/>
    <w:link w:val="Heading4"/>
    <w:uiPriority w:val="9"/>
    <w:rPr>
      <w:rFonts w:ascii="Cambria" w:eastAsia="Cambria" w:hAnsi="Cambria" w:cs="Cambria"/>
      <w:b/>
      <w:color w:val="000000"/>
      <w:sz w:val="22"/>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Pr>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mbria" w:eastAsia="Cambria" w:hAnsi="Cambria" w:cs="Cambria"/>
      <w:color w:val="000000"/>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mbria" w:eastAsia="Cambria" w:hAnsi="Cambria" w:cs="Cambria"/>
      <w:color w:val="000000"/>
      <w:sz w:val="21"/>
    </w:rPr>
  </w:style>
  <w:style w:type="paragraph" w:customStyle="1" w:styleId="JISH1STPAGE">
    <w:name w:val="JISH 1ST PAGE"/>
    <w:basedOn w:val="Heading3"/>
    <w:qFormat/>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Pr>
      <w:color w:val="0563C1" w:themeColor="hyperlink"/>
      <w:u w:val="single"/>
    </w:rPr>
  </w:style>
  <w:style w:type="paragraph" w:customStyle="1" w:styleId="EMAIL">
    <w:name w:val="EMAIL"/>
    <w:basedOn w:val="Normal"/>
    <w:qFormat/>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pPr>
      <w:spacing w:after="0" w:line="240" w:lineRule="auto"/>
      <w:ind w:left="170" w:right="170" w:firstLine="0"/>
    </w:pPr>
    <w:rPr>
      <w:rFonts w:ascii="Garamond" w:eastAsiaTheme="minorHAnsi" w:hAnsi="Garamond" w:cstheme="minorBidi"/>
      <w:i/>
      <w:color w:val="auto"/>
      <w:sz w:val="22"/>
      <w:szCs w:val="20"/>
      <w:lang w:val="en" w:eastAsia="id-ID"/>
    </w:rPr>
  </w:style>
  <w:style w:type="paragraph" w:customStyle="1" w:styleId="ABSTRAK">
    <w:name w:val="ABSTRAK"/>
    <w:basedOn w:val="Normal"/>
    <w:qFormat/>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نص حاشية سفلية Char Char,نص حاشية سفلية Char"/>
    <w:basedOn w:val="Normal"/>
    <w:link w:val="FootnoteTextChar"/>
    <w:uiPriority w:val="99"/>
    <w:unhideWhenUsed/>
    <w:pPr>
      <w:spacing w:after="0" w:line="240" w:lineRule="auto"/>
    </w:pPr>
    <w:rPr>
      <w:sz w:val="20"/>
      <w:szCs w:val="20"/>
    </w:rPr>
  </w:style>
  <w:style w:type="character" w:customStyle="1" w:styleId="FootnoteTextChar">
    <w:name w:val="Footnote Text Char"/>
    <w:aliases w:val="نص حاشية سفلية Char Char Char,نص حاشية سفلية Char Char1"/>
    <w:basedOn w:val="DefaultParagraphFont"/>
    <w:link w:val="FootnoteText"/>
    <w:uiPriority w:val="99"/>
    <w:rPr>
      <w:rFonts w:ascii="Cambria" w:eastAsia="Cambria" w:hAnsi="Cambria" w:cs="Cambria"/>
      <w:color w:val="000000"/>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Pr>
      <w:vertAlign w:val="superscript"/>
    </w:rPr>
  </w:style>
  <w:style w:type="paragraph" w:customStyle="1" w:styleId="TERJEMAH">
    <w:name w:val="TERJEMAH"/>
    <w:basedOn w:val="Normal"/>
    <w:qFormat/>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pPr>
      <w:spacing w:after="240"/>
      <w:ind w:left="0" w:right="17"/>
      <w:jc w:val="center"/>
    </w:pPr>
  </w:style>
  <w:style w:type="paragraph" w:customStyle="1" w:styleId="Bibliography1">
    <w:name w:val="Bibliography1"/>
    <w:basedOn w:val="ISI"/>
    <w:qFormat/>
    <w:pPr>
      <w:spacing w:after="120"/>
      <w:ind w:left="567" w:hanging="567"/>
    </w:pPr>
  </w:style>
  <w:style w:type="paragraph" w:customStyle="1" w:styleId="ISSNc">
    <w:name w:val="ISSN (c)"/>
    <w:basedOn w:val="Normal"/>
    <w:qFormat/>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8Char">
    <w:name w:val="Heading 8 Char"/>
    <w:basedOn w:val="DefaultParagraphFont"/>
    <w:link w:val="Heading8"/>
    <w:uiPriority w:val="99"/>
    <w:semiHidden/>
    <w:rPr>
      <w:i/>
      <w:iCs/>
      <w:sz w:val="24"/>
      <w:szCs w:val="24"/>
    </w:rPr>
  </w:style>
  <w:style w:type="character" w:customStyle="1" w:styleId="Heading9Char">
    <w:name w:val="Heading 9 Char"/>
    <w:basedOn w:val="DefaultParagraphFont"/>
    <w:link w:val="Heading9"/>
    <w:uiPriority w:val="99"/>
    <w:semiHidden/>
    <w:rPr>
      <w:rFonts w:asciiTheme="majorHAnsi" w:eastAsiaTheme="majorEastAsia" w:hAnsiTheme="majorHAnsi" w:cstheme="majorBidi"/>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alloonText">
    <w:name w:val="Balloon Text"/>
    <w:basedOn w:val="Normal"/>
    <w:link w:val="BalloonTextChar"/>
    <w:uiPriority w:val="99"/>
    <w:semiHidden/>
    <w:unhideWhenUsed/>
    <w:pPr>
      <w:spacing w:after="0" w:line="240" w:lineRule="auto"/>
      <w:ind w:left="0" w:right="0" w:firstLine="0"/>
      <w:jc w:val="left"/>
    </w:pPr>
    <w:rPr>
      <w:rFonts w:ascii="Tahoma" w:eastAsia="Times New Roman" w:hAnsi="Tahoma" w:cs="Tahoma"/>
      <w:color w:val="auto"/>
      <w:sz w:val="16"/>
      <w:szCs w:val="16"/>
    </w:rPr>
  </w:style>
  <w:style w:type="table" w:styleId="TableGrid0">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pPr>
      <w:spacing w:after="0" w:line="240" w:lineRule="auto"/>
      <w:ind w:left="1418" w:right="0" w:hanging="709"/>
      <w:jc w:val="left"/>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24"/>
      <w:szCs w:val="24"/>
    </w:rPr>
  </w:style>
  <w:style w:type="character" w:customStyle="1" w:styleId="hps">
    <w:name w:val="hps"/>
    <w:basedOn w:val="DefaultParagraphFont"/>
  </w:style>
  <w:style w:type="character" w:customStyle="1" w:styleId="shorttext">
    <w:name w:val="short_text"/>
    <w:basedOn w:val="DefaultParagraphFont"/>
  </w:style>
  <w:style w:type="character" w:customStyle="1" w:styleId="HTMLPreformattedChar">
    <w:name w:val="HTML Preformatted Char"/>
    <w:link w:val="HTMLPreformatted"/>
    <w:uiPriority w:val="99"/>
    <w:rPr>
      <w:rFonts w:ascii="Courier New" w:hAnsi="Courier New" w:cs="Courier New"/>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heme="minorEastAsia" w:hAnsi="Courier New" w:cs="Courier New"/>
      <w:color w:val="auto"/>
      <w:sz w:val="22"/>
    </w:rPr>
  </w:style>
  <w:style w:type="character" w:customStyle="1" w:styleId="HTMLPreformattedChar1">
    <w:name w:val="HTML Preformatted Char1"/>
    <w:basedOn w:val="DefaultParagraphFont"/>
    <w:uiPriority w:val="99"/>
    <w:semiHidden/>
    <w:rPr>
      <w:rFonts w:ascii="Consolas" w:eastAsia="Cambria" w:hAnsi="Consolas" w:cs="Cambria"/>
      <w:color w:val="000000"/>
      <w:sz w:val="20"/>
      <w:szCs w:val="20"/>
    </w:rPr>
  </w:style>
  <w:style w:type="character" w:customStyle="1" w:styleId="EndnoteTextChar">
    <w:name w:val="Endnote Text Char"/>
    <w:link w:val="EndnoteText"/>
    <w:uiPriority w:val="99"/>
    <w:semiHidden/>
    <w:rPr>
      <w:rFonts w:eastAsia="SimSun"/>
      <w:lang w:eastAsia="zh-CN"/>
    </w:rPr>
  </w:style>
  <w:style w:type="paragraph" w:styleId="EndnoteText">
    <w:name w:val="endnote text"/>
    <w:basedOn w:val="Normal"/>
    <w:link w:val="EndnoteTextChar"/>
    <w:uiPriority w:val="99"/>
    <w:semiHidden/>
    <w:unhideWhenUsed/>
    <w:pPr>
      <w:spacing w:after="0" w:line="240" w:lineRule="auto"/>
      <w:ind w:left="0" w:right="0" w:firstLine="0"/>
      <w:jc w:val="left"/>
    </w:pPr>
    <w:rPr>
      <w:rFonts w:asciiTheme="minorHAnsi" w:eastAsia="SimSun" w:hAnsiTheme="minorHAnsi" w:cstheme="minorBidi"/>
      <w:color w:val="auto"/>
      <w:sz w:val="22"/>
      <w:lang w:eastAsia="zh-CN"/>
    </w:rPr>
  </w:style>
  <w:style w:type="character" w:customStyle="1" w:styleId="EndnoteTextChar1">
    <w:name w:val="Endnote Text Char1"/>
    <w:basedOn w:val="DefaultParagraphFont"/>
    <w:uiPriority w:val="99"/>
    <w:semiHidden/>
    <w:rPr>
      <w:rFonts w:ascii="Cambria" w:eastAsia="Cambria" w:hAnsi="Cambria" w:cs="Cambria"/>
      <w:color w:val="000000"/>
      <w:sz w:val="20"/>
      <w:szCs w:val="20"/>
    </w:rPr>
  </w:style>
  <w:style w:type="paragraph" w:styleId="Title">
    <w:name w:val="Title"/>
    <w:basedOn w:val="Normal"/>
    <w:link w:val="TitleChar"/>
    <w:uiPriority w:val="10"/>
    <w:qFormat/>
    <w:pPr>
      <w:spacing w:after="0" w:line="480" w:lineRule="auto"/>
      <w:ind w:left="0" w:right="0" w:firstLine="0"/>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character" w:customStyle="1" w:styleId="BodyTextChar">
    <w:name w:val="Body Text Char"/>
    <w:link w:val="BodyText"/>
    <w:uiPriority w:val="99"/>
    <w:semiHidden/>
    <w:rPr>
      <w:rFonts w:eastAsia="SimSun"/>
      <w:sz w:val="24"/>
      <w:szCs w:val="24"/>
      <w:lang w:eastAsia="zh-CN"/>
    </w:rPr>
  </w:style>
  <w:style w:type="paragraph" w:styleId="BodyText">
    <w:name w:val="Body Text"/>
    <w:basedOn w:val="Normal"/>
    <w:link w:val="BodyTextChar"/>
    <w:uiPriority w:val="99"/>
    <w:semiHidden/>
    <w:unhideWhenUsed/>
    <w:pPr>
      <w:spacing w:after="120" w:line="240" w:lineRule="auto"/>
      <w:ind w:left="0" w:right="0" w:firstLine="0"/>
      <w:jc w:val="left"/>
    </w:pPr>
    <w:rPr>
      <w:rFonts w:asciiTheme="minorHAnsi" w:eastAsia="SimSun" w:hAnsiTheme="minorHAnsi" w:cstheme="minorBidi"/>
      <w:color w:val="auto"/>
      <w:sz w:val="24"/>
      <w:szCs w:val="24"/>
      <w:lang w:eastAsia="zh-CN"/>
    </w:rPr>
  </w:style>
  <w:style w:type="character" w:customStyle="1" w:styleId="BodyTextChar1">
    <w:name w:val="Body Text Char1"/>
    <w:basedOn w:val="DefaultParagraphFont"/>
    <w:uiPriority w:val="99"/>
    <w:semiHidden/>
    <w:rPr>
      <w:rFonts w:ascii="Cambria" w:eastAsia="Cambria" w:hAnsi="Cambria" w:cs="Cambria"/>
      <w:color w:val="000000"/>
      <w:sz w:val="21"/>
    </w:rPr>
  </w:style>
  <w:style w:type="character" w:customStyle="1" w:styleId="BodyTextIndentChar">
    <w:name w:val="Body Text Indent Char"/>
    <w:link w:val="BodyTextIndent"/>
    <w:uiPriority w:val="99"/>
    <w:semiHidden/>
    <w:rPr>
      <w:sz w:val="24"/>
      <w:szCs w:val="24"/>
    </w:rPr>
  </w:style>
  <w:style w:type="paragraph" w:styleId="BodyTextIndent">
    <w:name w:val="Body Text Indent"/>
    <w:basedOn w:val="Normal"/>
    <w:link w:val="BodyTextIndentChar"/>
    <w:uiPriority w:val="99"/>
    <w:semiHidden/>
    <w:unhideWhenUsed/>
    <w:pPr>
      <w:spacing w:after="0" w:line="480" w:lineRule="auto"/>
      <w:ind w:left="0" w:right="0" w:firstLine="720"/>
    </w:pPr>
    <w:rPr>
      <w:rFonts w:asciiTheme="minorHAnsi" w:eastAsiaTheme="minorEastAsia" w:hAnsiTheme="minorHAnsi" w:cstheme="minorBidi"/>
      <w:color w:val="auto"/>
      <w:sz w:val="24"/>
      <w:szCs w:val="24"/>
    </w:rPr>
  </w:style>
  <w:style w:type="character" w:customStyle="1" w:styleId="BodyTextIndentChar1">
    <w:name w:val="Body Text Indent Char1"/>
    <w:basedOn w:val="DefaultParagraphFont"/>
    <w:uiPriority w:val="99"/>
    <w:semiHidden/>
    <w:rPr>
      <w:rFonts w:ascii="Cambria" w:eastAsia="Cambria" w:hAnsi="Cambria" w:cs="Cambria"/>
      <w:color w:val="000000"/>
      <w:sz w:val="21"/>
    </w:rPr>
  </w:style>
  <w:style w:type="paragraph" w:styleId="Subtitle">
    <w:name w:val="Subtitle"/>
    <w:basedOn w:val="Normal"/>
    <w:link w:val="SubtitleChar"/>
    <w:uiPriority w:val="99"/>
    <w:qFormat/>
    <w:pPr>
      <w:spacing w:after="0" w:line="240" w:lineRule="auto"/>
      <w:ind w:left="0" w:right="0" w:firstLine="0"/>
      <w:jc w:val="center"/>
    </w:pPr>
    <w:rPr>
      <w:rFonts w:ascii="Times New Roman" w:eastAsia="Times New Roman" w:hAnsi="Times New Roman" w:cs="Times New Roman"/>
      <w:b/>
      <w:bCs/>
      <w:color w:val="auto"/>
      <w:sz w:val="24"/>
      <w:szCs w:val="24"/>
    </w:rPr>
  </w:style>
  <w:style w:type="character" w:customStyle="1" w:styleId="SubtitleChar">
    <w:name w:val="Subtitle Char"/>
    <w:basedOn w:val="DefaultParagraphFont"/>
    <w:link w:val="Subtitle"/>
    <w:uiPriority w:val="99"/>
    <w:rPr>
      <w:rFonts w:ascii="Times New Roman" w:eastAsia="Times New Roman" w:hAnsi="Times New Roman" w:cs="Times New Roman"/>
      <w:b/>
      <w:bCs/>
      <w:sz w:val="24"/>
      <w:szCs w:val="24"/>
    </w:rPr>
  </w:style>
  <w:style w:type="character" w:customStyle="1" w:styleId="BodyText2Char">
    <w:name w:val="Body Text 2 Char"/>
    <w:link w:val="BodyText2"/>
    <w:uiPriority w:val="99"/>
    <w:semiHidden/>
    <w:rPr>
      <w:rFonts w:eastAsia="SimSun"/>
      <w:sz w:val="24"/>
      <w:szCs w:val="24"/>
      <w:lang w:eastAsia="zh-CN"/>
    </w:rPr>
  </w:style>
  <w:style w:type="paragraph" w:styleId="BodyText2">
    <w:name w:val="Body Text 2"/>
    <w:basedOn w:val="Normal"/>
    <w:link w:val="BodyText2Char"/>
    <w:uiPriority w:val="99"/>
    <w:semiHidden/>
    <w:unhideWhenUsed/>
    <w:pPr>
      <w:spacing w:after="120" w:line="240" w:lineRule="auto"/>
      <w:ind w:left="360" w:right="0" w:firstLine="0"/>
      <w:jc w:val="left"/>
    </w:pPr>
    <w:rPr>
      <w:rFonts w:asciiTheme="minorHAnsi" w:eastAsia="SimSun" w:hAnsiTheme="minorHAnsi" w:cstheme="minorBidi"/>
      <w:color w:val="auto"/>
      <w:sz w:val="24"/>
      <w:szCs w:val="24"/>
      <w:lang w:eastAsia="zh-CN"/>
    </w:rPr>
  </w:style>
  <w:style w:type="character" w:customStyle="1" w:styleId="BodyText2Char1">
    <w:name w:val="Body Text 2 Char1"/>
    <w:basedOn w:val="DefaultParagraphFont"/>
    <w:uiPriority w:val="99"/>
    <w:semiHidden/>
    <w:rPr>
      <w:rFonts w:ascii="Cambria" w:eastAsia="Cambria" w:hAnsi="Cambria" w:cs="Cambria"/>
      <w:color w:val="000000"/>
      <w:sz w:val="21"/>
    </w:rPr>
  </w:style>
  <w:style w:type="character" w:customStyle="1" w:styleId="BodyText3Char">
    <w:name w:val="Body Text 3 Char"/>
    <w:link w:val="BodyText3"/>
    <w:uiPriority w:val="99"/>
    <w:semiHidden/>
    <w:rPr>
      <w:rFonts w:cs="Traditional Arabic"/>
      <w:i/>
      <w:iCs/>
      <w:sz w:val="24"/>
      <w:szCs w:val="28"/>
    </w:rPr>
  </w:style>
  <w:style w:type="paragraph" w:styleId="BodyText3">
    <w:name w:val="Body Text 3"/>
    <w:basedOn w:val="Normal"/>
    <w:link w:val="BodyText3Char"/>
    <w:uiPriority w:val="99"/>
    <w:semiHidden/>
    <w:unhideWhenUsed/>
    <w:pPr>
      <w:spacing w:after="0" w:line="240" w:lineRule="auto"/>
      <w:ind w:left="0" w:right="0" w:firstLine="0"/>
      <w:jc w:val="left"/>
    </w:pPr>
    <w:rPr>
      <w:rFonts w:asciiTheme="minorHAnsi" w:eastAsiaTheme="minorEastAsia" w:hAnsiTheme="minorHAnsi" w:cs="Traditional Arabic"/>
      <w:i/>
      <w:iCs/>
      <w:color w:val="auto"/>
      <w:sz w:val="24"/>
      <w:szCs w:val="28"/>
    </w:rPr>
  </w:style>
  <w:style w:type="character" w:customStyle="1" w:styleId="BodyText3Char1">
    <w:name w:val="Body Text 3 Char1"/>
    <w:basedOn w:val="DefaultParagraphFont"/>
    <w:uiPriority w:val="99"/>
    <w:semiHidden/>
    <w:rPr>
      <w:rFonts w:ascii="Cambria" w:eastAsia="Cambria" w:hAnsi="Cambria" w:cs="Cambria"/>
      <w:color w:val="000000"/>
      <w:sz w:val="16"/>
      <w:szCs w:val="16"/>
    </w:rPr>
  </w:style>
  <w:style w:type="character" w:customStyle="1" w:styleId="BodyTextIndent2Char">
    <w:name w:val="Body Text Indent 2 Char"/>
    <w:link w:val="BodyTextIndent2"/>
    <w:uiPriority w:val="99"/>
    <w:semiHidden/>
    <w:rPr>
      <w:sz w:val="24"/>
      <w:szCs w:val="24"/>
    </w:rPr>
  </w:style>
  <w:style w:type="paragraph" w:styleId="BodyTextIndent2">
    <w:name w:val="Body Text Indent 2"/>
    <w:basedOn w:val="Normal"/>
    <w:link w:val="BodyTextIndent2Char"/>
    <w:uiPriority w:val="99"/>
    <w:semiHidden/>
    <w:unhideWhenUsed/>
    <w:pPr>
      <w:spacing w:after="0" w:line="480" w:lineRule="auto"/>
      <w:ind w:left="360" w:right="0" w:firstLine="720"/>
    </w:pPr>
    <w:rPr>
      <w:rFonts w:asciiTheme="minorHAnsi" w:eastAsiaTheme="minorEastAsia" w:hAnsiTheme="minorHAnsi" w:cstheme="minorBidi"/>
      <w:color w:val="auto"/>
      <w:sz w:val="24"/>
      <w:szCs w:val="24"/>
    </w:rPr>
  </w:style>
  <w:style w:type="character" w:customStyle="1" w:styleId="BodyTextIndent2Char1">
    <w:name w:val="Body Text Indent 2 Char1"/>
    <w:basedOn w:val="DefaultParagraphFont"/>
    <w:uiPriority w:val="99"/>
    <w:semiHidden/>
    <w:rPr>
      <w:rFonts w:ascii="Cambria" w:eastAsia="Cambria" w:hAnsi="Cambria" w:cs="Cambria"/>
      <w:color w:val="000000"/>
      <w:sz w:val="21"/>
    </w:rPr>
  </w:style>
  <w:style w:type="paragraph" w:customStyle="1" w:styleId="plff0">
    <w:name w:val="pl ff0"/>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pjff0">
    <w:name w:val="pj ff0"/>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harCharCharCharChar">
    <w:name w:val="Char Char Char Char Char"/>
    <w:basedOn w:val="Normal"/>
    <w:next w:val="Normal"/>
    <w:uiPriority w:val="99"/>
    <w:pPr>
      <w:spacing w:after="160" w:line="240" w:lineRule="exact"/>
      <w:ind w:left="0" w:right="0" w:firstLine="0"/>
      <w:jc w:val="left"/>
    </w:pPr>
    <w:rPr>
      <w:rFonts w:ascii="Tahoma" w:eastAsia="Times New Roman" w:hAnsi="Tahoma" w:cs="Tahoma"/>
      <w:color w:val="auto"/>
      <w:sz w:val="24"/>
      <w:szCs w:val="24"/>
    </w:rPr>
  </w:style>
  <w:style w:type="paragraph" w:customStyle="1" w:styleId="1">
    <w:name w:val="1"/>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2">
    <w:name w:val="2"/>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21">
    <w:name w:val="21"/>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jarak2">
    <w:name w:val="jarak2"/>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14">
    <w:name w:val="14"/>
    <w:basedOn w:val="Normal"/>
    <w:uiPriority w:val="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en">
    <w:name w:val="gen"/>
    <w:rPr>
      <w:rFonts w:ascii="Times New Roman" w:hAnsi="Times New Roman" w:cs="Times New Roman" w:hint="default"/>
    </w:rPr>
  </w:style>
  <w:style w:type="character" w:customStyle="1" w:styleId="longtext">
    <w:name w:val="long_text"/>
    <w:basedOn w:val="DefaultParagraphFont"/>
  </w:style>
  <w:style w:type="character" w:customStyle="1" w:styleId="nw">
    <w:name w:val="nw"/>
    <w:basedOn w:val="DefaultParagraphFont"/>
  </w:style>
  <w:style w:type="character" w:customStyle="1" w:styleId="sep">
    <w:name w:val="sep"/>
    <w:basedOn w:val="DefaultParagraphFont"/>
  </w:style>
  <w:style w:type="character" w:customStyle="1" w:styleId="authorvcard">
    <w:name w:val="author vcard"/>
    <w:basedOn w:val="DefaultParagraphFont"/>
  </w:style>
  <w:style w:type="character" w:customStyle="1" w:styleId="apple-style-span">
    <w:name w:val="apple-style-span"/>
    <w:basedOn w:val="DefaultParagraphFont"/>
  </w:style>
  <w:style w:type="character" w:customStyle="1" w:styleId="st">
    <w:name w:val="st"/>
    <w:basedOn w:val="DefaultParagraphFont"/>
  </w:style>
  <w:style w:type="character" w:customStyle="1" w:styleId="hascaption">
    <w:name w:val="hascaption"/>
    <w:basedOn w:val="DefaultParagraphFont"/>
  </w:style>
  <w:style w:type="character" w:customStyle="1" w:styleId="skimlinks-unlinked">
    <w:name w:val="skimlinks-unlinked"/>
    <w:basedOn w:val="DefaultParagraphFont"/>
  </w:style>
  <w:style w:type="character" w:customStyle="1" w:styleId="atn">
    <w:name w:val="atn"/>
    <w:basedOn w:val="DefaultParagraphFont"/>
  </w:style>
  <w:style w:type="character" w:customStyle="1" w:styleId="A3">
    <w:name w:val="A3"/>
    <w:uiPriority w:val="99"/>
    <w:rPr>
      <w:color w:val="000000"/>
      <w:sz w:val="20"/>
      <w:szCs w:val="20"/>
    </w:rPr>
  </w:style>
  <w:style w:type="character" w:customStyle="1" w:styleId="posting">
    <w:name w:val="posting"/>
    <w:basedOn w:val="DefaultParagraphFont"/>
  </w:style>
  <w:style w:type="paragraph" w:styleId="Bibliography">
    <w:name w:val="Bibliography"/>
    <w:basedOn w:val="Normal"/>
    <w:next w:val="Normal"/>
    <w:uiPriority w:val="37"/>
    <w:unhideWhenUsed/>
    <w:pPr>
      <w:spacing w:after="0" w:line="240" w:lineRule="auto"/>
      <w:ind w:left="0" w:right="0" w:firstLine="0"/>
      <w:jc w:val="left"/>
    </w:pPr>
    <w:rPr>
      <w:rFonts w:ascii="Times New Roman" w:eastAsia="Times New Roman" w:hAnsi="Times New Roman" w:cs="Times New Roman"/>
      <w:color w:val="auto"/>
      <w:sz w:val="20"/>
      <w:szCs w:val="20"/>
    </w:rPr>
  </w:style>
  <w:style w:type="paragraph" w:styleId="NoSpacing">
    <w:name w:val="No Spacing"/>
    <w:uiPriority w:val="1"/>
    <w:qFormat/>
    <w:pPr>
      <w:spacing w:after="0" w:line="240" w:lineRule="auto"/>
    </w:pPr>
    <w:rPr>
      <w:rFonts w:eastAsiaTheme="minorHAnsi"/>
      <w:lang w:val="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widowControl w:val="0"/>
      <w:shd w:val="clear" w:color="auto" w:fill="FFFFFF"/>
      <w:spacing w:after="0" w:line="413" w:lineRule="exact"/>
      <w:ind w:left="0" w:right="0" w:firstLine="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F6F4-4003-4E87-A303-8820A39E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2017-08-29T08:17:00Z</dcterms:created>
  <dcterms:modified xsi:type="dcterms:W3CDTF">2017-09-02T15:52:00Z</dcterms:modified>
</cp:coreProperties>
</file>